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rPr>
          <w:rFonts w:ascii="Times New Roman" w:hAnsi="Times New Roman" w:cs="Times New Roman"/>
          <w:b/>
          <w:i/>
          <w:sz w:val="36"/>
          <w:szCs w:val="36"/>
          <w:lang w:val="it-IT"/>
        </w:rPr>
      </w:pPr>
      <w:r>
        <w:rPr>
          <w:b/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240665</wp:posOffset>
            </wp:positionV>
            <wp:extent cx="1082040" cy="1092200"/>
            <wp:effectExtent l="1905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185">
        <w:rPr>
          <w:b/>
          <w:i/>
          <w:sz w:val="32"/>
          <w:szCs w:val="32"/>
          <w:lang w:val="it-IT"/>
        </w:rPr>
        <w:t xml:space="preserve">                   </w:t>
      </w:r>
      <w:r w:rsidRPr="007B2185">
        <w:rPr>
          <w:b/>
          <w:i/>
          <w:sz w:val="36"/>
          <w:szCs w:val="36"/>
          <w:lang w:val="it-IT"/>
        </w:rPr>
        <w:t xml:space="preserve">                            </w:t>
      </w:r>
      <w:r w:rsidRPr="007B2185">
        <w:rPr>
          <w:rFonts w:ascii="Times New Roman" w:hAnsi="Times New Roman" w:cs="Times New Roman"/>
          <w:b/>
          <w:i/>
          <w:sz w:val="40"/>
          <w:szCs w:val="40"/>
          <w:lang w:val="it-IT"/>
        </w:rPr>
        <w:t xml:space="preserve">Unione di Comuni </w:t>
      </w:r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rPr>
          <w:rFonts w:ascii="Times New Roman" w:hAnsi="Times New Roman" w:cs="Times New Roman"/>
          <w:b/>
          <w:i/>
          <w:sz w:val="36"/>
          <w:szCs w:val="36"/>
          <w:lang w:val="it-IT"/>
        </w:rPr>
      </w:pPr>
      <w:r w:rsidRPr="007B2185">
        <w:rPr>
          <w:rFonts w:ascii="Times New Roman" w:hAnsi="Times New Roman" w:cs="Times New Roman"/>
          <w:b/>
          <w:i/>
          <w:sz w:val="36"/>
          <w:szCs w:val="36"/>
          <w:lang w:val="it-IT"/>
        </w:rPr>
        <w:t xml:space="preserve">                                     Città - Territorio </w:t>
      </w:r>
      <w:proofErr w:type="spellStart"/>
      <w:r w:rsidRPr="007B2185">
        <w:rPr>
          <w:rFonts w:ascii="Times New Roman" w:hAnsi="Times New Roman" w:cs="Times New Roman"/>
          <w:b/>
          <w:i/>
          <w:sz w:val="36"/>
          <w:szCs w:val="36"/>
          <w:lang w:val="it-IT"/>
        </w:rPr>
        <w:t>Val</w:t>
      </w:r>
      <w:proofErr w:type="spellEnd"/>
      <w:r w:rsidRPr="007B2185">
        <w:rPr>
          <w:rFonts w:ascii="Times New Roman" w:hAnsi="Times New Roman" w:cs="Times New Roman"/>
          <w:b/>
          <w:i/>
          <w:sz w:val="36"/>
          <w:szCs w:val="36"/>
          <w:lang w:val="it-IT"/>
        </w:rPr>
        <w:t xml:space="preserve"> Vibrata</w:t>
      </w:r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Times New Roman" w:hAnsi="Times New Roman" w:cs="Times New Roman"/>
          <w:b/>
          <w:i/>
          <w:lang w:val="it-IT"/>
        </w:rPr>
      </w:pPr>
      <w:r w:rsidRPr="007B2185">
        <w:rPr>
          <w:rFonts w:ascii="Times New Roman" w:hAnsi="Times New Roman" w:cs="Times New Roman"/>
          <w:b/>
          <w:i/>
          <w:lang w:val="it-IT"/>
        </w:rPr>
        <w:t xml:space="preserve">                      Viale Europa snc - 64015 Nereto (TE)</w:t>
      </w:r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Times New Roman" w:hAnsi="Times New Roman" w:cs="Times New Roman"/>
          <w:b/>
          <w:lang w:val="it-IT"/>
        </w:rPr>
      </w:pPr>
      <w:r w:rsidRPr="007B2185">
        <w:rPr>
          <w:rFonts w:ascii="Times New Roman" w:hAnsi="Times New Roman" w:cs="Times New Roman"/>
          <w:b/>
          <w:lang w:val="it-IT"/>
        </w:rPr>
        <w:t xml:space="preserve">                P.I.: 01438600676 – Tel/fax: 0861 851825</w:t>
      </w:r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7B2185">
        <w:rPr>
          <w:rFonts w:ascii="Times New Roman" w:hAnsi="Times New Roman" w:cs="Times New Roman"/>
          <w:b/>
          <w:sz w:val="22"/>
          <w:szCs w:val="22"/>
          <w:lang w:val="it-IT"/>
        </w:rPr>
        <w:t xml:space="preserve">                 Sito Internet: www.unionecomunivalvibrata.it</w:t>
      </w:r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7B2185">
        <w:rPr>
          <w:rFonts w:ascii="Times New Roman" w:hAnsi="Times New Roman" w:cs="Times New Roman"/>
          <w:b/>
          <w:sz w:val="22"/>
          <w:szCs w:val="22"/>
          <w:lang w:val="it-IT"/>
        </w:rPr>
        <w:t xml:space="preserve">                  E-mail: segreteria@unionecomunivalvibrata.it </w:t>
      </w:r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7B2185">
        <w:rPr>
          <w:rFonts w:ascii="Times New Roman" w:hAnsi="Times New Roman" w:cs="Times New Roman"/>
          <w:b/>
          <w:sz w:val="22"/>
          <w:szCs w:val="22"/>
          <w:lang w:val="it-IT"/>
        </w:rPr>
        <w:t xml:space="preserve">                   PEC: </w:t>
      </w:r>
      <w:hyperlink r:id="rId8" w:history="1">
        <w:r w:rsidRPr="007B2185">
          <w:rPr>
            <w:rStyle w:val="Collegamentoipertestuale"/>
            <w:rFonts w:ascii="Times New Roman" w:eastAsiaTheme="majorEastAsia" w:hAnsi="Times New Roman" w:cs="Times New Roman"/>
            <w:b/>
            <w:sz w:val="22"/>
            <w:szCs w:val="22"/>
            <w:lang w:val="it-IT"/>
          </w:rPr>
          <w:t>unionecomunivalvibrata@pec.it</w:t>
        </w:r>
      </w:hyperlink>
    </w:p>
    <w:p w:rsidR="007B2185" w:rsidRPr="007B2185" w:rsidRDefault="007B2185" w:rsidP="007B218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sz w:val="22"/>
          <w:szCs w:val="22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b/>
          <w:bCs/>
          <w:spacing w:val="2"/>
          <w:w w:val="136"/>
          <w:sz w:val="36"/>
          <w:szCs w:val="36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b/>
          <w:bCs/>
          <w:spacing w:val="2"/>
          <w:w w:val="136"/>
          <w:sz w:val="36"/>
          <w:szCs w:val="36"/>
          <w:lang w:val="it-IT"/>
        </w:rPr>
      </w:pPr>
    </w:p>
    <w:p w:rsidR="007B2185" w:rsidRP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b/>
          <w:bCs/>
          <w:spacing w:val="2"/>
          <w:w w:val="136"/>
          <w:sz w:val="36"/>
          <w:szCs w:val="36"/>
          <w:lang w:val="it-IT"/>
        </w:rPr>
      </w:pPr>
      <w:r w:rsidRPr="007B2185">
        <w:rPr>
          <w:rFonts w:ascii="Times New Roman" w:hAnsi="Times New Roman" w:cs="Times New Roman"/>
          <w:b/>
          <w:bCs/>
          <w:spacing w:val="2"/>
          <w:w w:val="136"/>
          <w:sz w:val="36"/>
          <w:szCs w:val="36"/>
          <w:lang w:val="it-IT"/>
        </w:rPr>
        <w:t>REGOLAMENTO</w:t>
      </w:r>
    </w:p>
    <w:p w:rsidR="007B2185" w:rsidRDefault="007B2185" w:rsidP="007B2185">
      <w:pPr>
        <w:framePr w:hSpace="141" w:wrap="around" w:vAnchor="text" w:hAnchor="text" w:y="1"/>
        <w:autoSpaceDE w:val="0"/>
        <w:autoSpaceDN w:val="0"/>
        <w:adjustRightInd w:val="0"/>
        <w:suppressOverlap/>
        <w:jc w:val="center"/>
        <w:rPr>
          <w:rFonts w:ascii="Times New Roman" w:hAnsi="Times New Roman" w:cs="Times New Roman"/>
          <w:spacing w:val="8"/>
          <w:sz w:val="36"/>
          <w:szCs w:val="36"/>
          <w:lang w:val="it-IT"/>
        </w:rPr>
      </w:pPr>
      <w:r w:rsidRPr="003C62BC">
        <w:rPr>
          <w:rFonts w:ascii="Times New Roman" w:hAnsi="Times New Roman" w:cs="Times New Roman"/>
          <w:spacing w:val="8"/>
          <w:sz w:val="36"/>
          <w:szCs w:val="36"/>
          <w:lang w:val="it-IT"/>
        </w:rPr>
        <w:t xml:space="preserve">PER LA CONCESSIONE </w:t>
      </w:r>
      <w:proofErr w:type="spellStart"/>
      <w:r w:rsidRPr="003C62BC">
        <w:rPr>
          <w:rFonts w:ascii="Times New Roman" w:hAnsi="Times New Roman" w:cs="Times New Roman"/>
          <w:spacing w:val="8"/>
          <w:sz w:val="36"/>
          <w:szCs w:val="36"/>
          <w:lang w:val="it-IT"/>
        </w:rPr>
        <w:t>DI</w:t>
      </w:r>
      <w:proofErr w:type="spellEnd"/>
      <w:r w:rsidRPr="003C62BC">
        <w:rPr>
          <w:rFonts w:ascii="Times New Roman" w:hAnsi="Times New Roman" w:cs="Times New Roman"/>
          <w:spacing w:val="8"/>
          <w:sz w:val="36"/>
          <w:szCs w:val="36"/>
          <w:lang w:val="it-IT"/>
        </w:rPr>
        <w:t xml:space="preserve"> PROVVIDENZE</w:t>
      </w:r>
      <w:r w:rsidRPr="003C62BC">
        <w:rPr>
          <w:rFonts w:ascii="Times New Roman" w:hAnsi="Times New Roman" w:cs="Times New Roman"/>
          <w:spacing w:val="8"/>
          <w:sz w:val="36"/>
          <w:szCs w:val="36"/>
          <w:lang w:val="it-IT"/>
        </w:rPr>
        <w:br/>
        <w:t>ECONOMICHE E PATROCINIO</w:t>
      </w:r>
    </w:p>
    <w:p w:rsidR="007B2185" w:rsidRPr="003C62BC" w:rsidRDefault="007B2185" w:rsidP="007B2185">
      <w:pPr>
        <w:framePr w:hSpace="141" w:wrap="around" w:vAnchor="text" w:hAnchor="text" w:y="1"/>
        <w:autoSpaceDE w:val="0"/>
        <w:autoSpaceDN w:val="0"/>
        <w:adjustRightInd w:val="0"/>
        <w:suppressOverlap/>
        <w:jc w:val="center"/>
        <w:rPr>
          <w:rFonts w:ascii="Times New Roman" w:hAnsi="Times New Roman" w:cs="Times New Roman"/>
          <w:i/>
          <w:iCs/>
          <w:color w:val="810081"/>
          <w:sz w:val="36"/>
          <w:szCs w:val="36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lang w:val="it-IT"/>
        </w:rPr>
      </w:pPr>
      <w:r>
        <w:rPr>
          <w:lang w:val="it-IT"/>
        </w:rPr>
        <w:t>__________________________________________________</w:t>
      </w:r>
    </w:p>
    <w:p w:rsidR="00892779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  <w:r w:rsidRPr="007B2185">
        <w:rPr>
          <w:rFonts w:ascii="Times New Roman" w:hAnsi="Times New Roman" w:cs="Times New Roman"/>
          <w:lang w:val="it-IT"/>
        </w:rPr>
        <w:t xml:space="preserve">Modificato con deliberazione di C.C. n. </w:t>
      </w:r>
      <w:r w:rsidR="00777237">
        <w:rPr>
          <w:rFonts w:ascii="Times New Roman" w:hAnsi="Times New Roman" w:cs="Times New Roman"/>
          <w:lang w:val="it-IT"/>
        </w:rPr>
        <w:t>21</w:t>
      </w:r>
      <w:r w:rsidRPr="007B2185">
        <w:rPr>
          <w:rFonts w:ascii="Times New Roman" w:hAnsi="Times New Roman" w:cs="Times New Roman"/>
          <w:lang w:val="it-IT"/>
        </w:rPr>
        <w:t xml:space="preserve"> del </w:t>
      </w:r>
      <w:r w:rsidR="00777237">
        <w:rPr>
          <w:rFonts w:ascii="Times New Roman" w:hAnsi="Times New Roman" w:cs="Times New Roman"/>
          <w:lang w:val="it-IT"/>
        </w:rPr>
        <w:t>28.11.2011</w:t>
      </w: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spacing w:before="792" w:line="372" w:lineRule="atLeast"/>
        <w:rPr>
          <w:rFonts w:ascii="Times New Roman" w:hAnsi="Times New Roman" w:cs="Times New Roman"/>
          <w:lang w:val="it-IT"/>
        </w:rPr>
      </w:pPr>
    </w:p>
    <w:p w:rsidR="007B2185" w:rsidRPr="003C62BC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b/>
          <w:bCs/>
          <w:spacing w:val="2"/>
          <w:w w:val="136"/>
          <w:lang w:val="it-IT"/>
        </w:rPr>
      </w:pPr>
      <w:r w:rsidRPr="003C62BC">
        <w:rPr>
          <w:rFonts w:ascii="Times New Roman" w:hAnsi="Times New Roman" w:cs="Times New Roman"/>
          <w:b/>
          <w:bCs/>
          <w:spacing w:val="2"/>
          <w:w w:val="136"/>
          <w:lang w:val="it-IT"/>
        </w:rPr>
        <w:lastRenderedPageBreak/>
        <w:t>REGOLAMENTO</w:t>
      </w:r>
    </w:p>
    <w:p w:rsidR="007B2185" w:rsidRPr="003C62BC" w:rsidRDefault="007B2185" w:rsidP="007B2185">
      <w:pPr>
        <w:jc w:val="center"/>
        <w:rPr>
          <w:rFonts w:ascii="Times New Roman" w:hAnsi="Times New Roman" w:cs="Times New Roman"/>
          <w:spacing w:val="8"/>
          <w:lang w:val="it-IT"/>
        </w:rPr>
      </w:pPr>
      <w:r w:rsidRPr="003C62BC">
        <w:rPr>
          <w:rFonts w:ascii="Times New Roman" w:hAnsi="Times New Roman" w:cs="Times New Roman"/>
          <w:spacing w:val="8"/>
          <w:lang w:val="it-IT"/>
        </w:rPr>
        <w:t xml:space="preserve">PER LA CONCESSIONE </w:t>
      </w:r>
      <w:proofErr w:type="spellStart"/>
      <w:r w:rsidRPr="003C62BC">
        <w:rPr>
          <w:rFonts w:ascii="Times New Roman" w:hAnsi="Times New Roman" w:cs="Times New Roman"/>
          <w:spacing w:val="8"/>
          <w:lang w:val="it-IT"/>
        </w:rPr>
        <w:t>DI</w:t>
      </w:r>
      <w:proofErr w:type="spellEnd"/>
      <w:r w:rsidRPr="003C62BC">
        <w:rPr>
          <w:rFonts w:ascii="Times New Roman" w:hAnsi="Times New Roman" w:cs="Times New Roman"/>
          <w:spacing w:val="8"/>
          <w:lang w:val="it-IT"/>
        </w:rPr>
        <w:t xml:space="preserve"> PROVVIDENZE</w:t>
      </w:r>
      <w:r w:rsidRPr="003C62BC">
        <w:rPr>
          <w:rFonts w:ascii="Times New Roman" w:hAnsi="Times New Roman" w:cs="Times New Roman"/>
          <w:spacing w:val="8"/>
          <w:lang w:val="it-IT"/>
        </w:rPr>
        <w:br/>
        <w:t>ECONOMICHE E PATROCINIO</w:t>
      </w:r>
    </w:p>
    <w:p w:rsidR="007B2185" w:rsidRPr="003C62BC" w:rsidRDefault="007B2185" w:rsidP="007B2185">
      <w:pPr>
        <w:spacing w:before="540"/>
        <w:rPr>
          <w:rFonts w:ascii="Times New Roman" w:hAnsi="Times New Roman" w:cs="Times New Roman"/>
          <w:i/>
          <w:iCs/>
          <w:lang w:val="it-IT"/>
        </w:rPr>
      </w:pPr>
      <w:r w:rsidRPr="003C62BC">
        <w:rPr>
          <w:rFonts w:ascii="Times New Roman" w:hAnsi="Times New Roman" w:cs="Times New Roman"/>
          <w:i/>
          <w:iCs/>
          <w:lang w:val="it-IT"/>
        </w:rPr>
        <w:t>INDICE</w:t>
      </w:r>
    </w:p>
    <w:p w:rsidR="007B2185" w:rsidRPr="003C62BC" w:rsidRDefault="007B2185" w:rsidP="007B2185">
      <w:pPr>
        <w:spacing w:before="504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TITOLO I — CONCESSIONE PROVVIDENZE ECONOMICHE</w:t>
      </w:r>
    </w:p>
    <w:p w:rsidR="007B2185" w:rsidRPr="003C62BC" w:rsidRDefault="007B2185" w:rsidP="007B2185">
      <w:pPr>
        <w:pStyle w:val="Style1"/>
        <w:adjustRightInd/>
      </w:pPr>
      <w:r w:rsidRPr="003C62BC">
        <w:t>ART. 1 — Finalità ed aree di intervento</w:t>
      </w:r>
    </w:p>
    <w:p w:rsidR="007B2185" w:rsidRDefault="007B2185" w:rsidP="007B2185">
      <w:pPr>
        <w:ind w:right="2952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spacing w:val="-1"/>
          <w:lang w:val="it-IT"/>
        </w:rPr>
        <w:t>ART. 2 — Tipologia e natura delle provvidenze</w:t>
      </w:r>
      <w:r w:rsidRPr="003C62BC">
        <w:rPr>
          <w:rFonts w:ascii="Times New Roman" w:hAnsi="Times New Roman" w:cs="Times New Roman"/>
          <w:lang w:val="it-IT"/>
        </w:rPr>
        <w:t xml:space="preserve"> </w:t>
      </w:r>
    </w:p>
    <w:p w:rsidR="007B2185" w:rsidRDefault="007B2185" w:rsidP="007B2185">
      <w:pPr>
        <w:ind w:right="2952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 xml:space="preserve">ART. 3 — Indirizzi del Consiglio dell'Unione </w:t>
      </w:r>
    </w:p>
    <w:p w:rsidR="007B2185" w:rsidRPr="003C62BC" w:rsidRDefault="007B2185" w:rsidP="007B2185">
      <w:pPr>
        <w:ind w:right="2952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ART. 4 -   Richiesta di provvidenze</w:t>
      </w:r>
    </w:p>
    <w:p w:rsidR="007B2185" w:rsidRPr="003C62BC" w:rsidRDefault="007B2185" w:rsidP="007B2185">
      <w:pPr>
        <w:pStyle w:val="Style1"/>
        <w:adjustRightInd/>
      </w:pPr>
      <w:r w:rsidRPr="003C62BC">
        <w:t>ART. 5 — Istruttoria delle richieste</w:t>
      </w:r>
    </w:p>
    <w:p w:rsidR="007B2185" w:rsidRPr="003C62BC" w:rsidRDefault="007B2185" w:rsidP="007B2185">
      <w:pPr>
        <w:pStyle w:val="Style1"/>
        <w:adjustRightInd/>
      </w:pPr>
      <w:r w:rsidRPr="003C62BC">
        <w:t>ART. 6 — Criteri di assegnazione</w:t>
      </w:r>
    </w:p>
    <w:p w:rsidR="007B2185" w:rsidRPr="003C62BC" w:rsidRDefault="007B2185" w:rsidP="007B2185">
      <w:pPr>
        <w:pStyle w:val="Style1"/>
        <w:adjustRightInd/>
      </w:pPr>
      <w:r w:rsidRPr="003C62BC">
        <w:t>ART. 7 — Modalità di erogazione</w:t>
      </w:r>
    </w:p>
    <w:p w:rsidR="007B2185" w:rsidRDefault="007B2185" w:rsidP="007B2185">
      <w:pPr>
        <w:ind w:right="3168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 xml:space="preserve">ART. 8 — Verifica dello stato di attuazione </w:t>
      </w:r>
    </w:p>
    <w:p w:rsidR="007B2185" w:rsidRDefault="007B2185" w:rsidP="007B2185">
      <w:pPr>
        <w:ind w:right="3168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spacing w:val="-2"/>
          <w:lang w:val="it-IT"/>
        </w:rPr>
        <w:t>ART. 9 — Condizioni generali di concessione</w:t>
      </w:r>
      <w:r w:rsidRPr="003C62BC">
        <w:rPr>
          <w:rFonts w:ascii="Times New Roman" w:hAnsi="Times New Roman" w:cs="Times New Roman"/>
          <w:lang w:val="it-IT"/>
        </w:rPr>
        <w:t xml:space="preserve"> </w:t>
      </w:r>
    </w:p>
    <w:p w:rsidR="007B2185" w:rsidRPr="003C62BC" w:rsidRDefault="007B2185" w:rsidP="007B2185">
      <w:pPr>
        <w:ind w:right="3168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ART. 10 - Decadenza</w:t>
      </w:r>
    </w:p>
    <w:p w:rsidR="007B2185" w:rsidRPr="003C62BC" w:rsidRDefault="007B2185" w:rsidP="007B2185">
      <w:pPr>
        <w:pStyle w:val="Style1"/>
        <w:adjustRightInd/>
      </w:pPr>
      <w:r w:rsidRPr="003C62BC">
        <w:t>ART. 11 — Albo dei beneficiari di provvidenze</w:t>
      </w:r>
    </w:p>
    <w:p w:rsidR="007B2185" w:rsidRPr="003C62BC" w:rsidRDefault="007B2185" w:rsidP="007B2185">
      <w:pPr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pStyle w:val="Style1"/>
        <w:adjustRightInd/>
        <w:ind w:right="144"/>
      </w:pPr>
      <w:r w:rsidRPr="003C62BC">
        <w:rPr>
          <w:spacing w:val="-2"/>
        </w:rPr>
        <w:t>TITOLO II — PATROCINIO GRATUITO ED USO DELLO STEMMA</w:t>
      </w:r>
      <w:r w:rsidRPr="003C62BC">
        <w:t xml:space="preserve"> </w:t>
      </w:r>
    </w:p>
    <w:p w:rsidR="007B2185" w:rsidRPr="003C62BC" w:rsidRDefault="007B2185" w:rsidP="007B2185">
      <w:pPr>
        <w:pStyle w:val="Style1"/>
        <w:adjustRightInd/>
        <w:ind w:right="144"/>
      </w:pPr>
      <w:r w:rsidRPr="003C62BC">
        <w:t>ART. 12 — Patrocinio</w:t>
      </w:r>
    </w:p>
    <w:p w:rsidR="007B2185" w:rsidRPr="003C62BC" w:rsidRDefault="007B2185" w:rsidP="007B2185">
      <w:pPr>
        <w:pStyle w:val="Style1"/>
        <w:adjustRightInd/>
      </w:pPr>
      <w:r w:rsidRPr="003C62BC">
        <w:t>ART. 13 — Criteri di concessione del patrocinio</w:t>
      </w:r>
    </w:p>
    <w:p w:rsidR="007B2185" w:rsidRPr="003C62BC" w:rsidRDefault="007B2185" w:rsidP="007B2185">
      <w:pPr>
        <w:pStyle w:val="Style1"/>
        <w:adjustRightInd/>
      </w:pPr>
      <w:r w:rsidRPr="003C62BC">
        <w:t>ART. 14 — Presentazione delle domande di patrocinio</w:t>
      </w:r>
    </w:p>
    <w:p w:rsidR="007B2185" w:rsidRPr="003C62BC" w:rsidRDefault="007B2185" w:rsidP="007B2185">
      <w:pPr>
        <w:pStyle w:val="Style1"/>
        <w:adjustRightInd/>
      </w:pPr>
      <w:r w:rsidRPr="003C62BC">
        <w:t>ART. 15 — Comitati d'onore</w:t>
      </w:r>
    </w:p>
    <w:p w:rsidR="007B2185" w:rsidRPr="003C62BC" w:rsidRDefault="007B2185" w:rsidP="007B2185">
      <w:pPr>
        <w:pStyle w:val="Style1"/>
        <w:adjustRightInd/>
      </w:pPr>
      <w:r w:rsidRPr="003C62BC">
        <w:t>ART. 16 — Uso del Gonfalone</w:t>
      </w:r>
    </w:p>
    <w:p w:rsidR="007B2185" w:rsidRPr="003C62BC" w:rsidRDefault="007B2185" w:rsidP="007B2185">
      <w:pPr>
        <w:pStyle w:val="Style1"/>
        <w:adjustRightInd/>
      </w:pPr>
      <w:r w:rsidRPr="003C62BC">
        <w:t>ART. 17 — Diffusione del regolamento</w:t>
      </w:r>
    </w:p>
    <w:p w:rsidR="007B2185" w:rsidRPr="003C62BC" w:rsidRDefault="007B2185" w:rsidP="007B2185">
      <w:pPr>
        <w:pStyle w:val="Style1"/>
        <w:adjustRightInd/>
      </w:pPr>
      <w:r w:rsidRPr="003C62BC">
        <w:t>ART. 18 — Abrogazione</w:t>
      </w:r>
    </w:p>
    <w:p w:rsidR="007B2185" w:rsidRPr="003C62BC" w:rsidRDefault="007B2185" w:rsidP="007B2185">
      <w:pPr>
        <w:pStyle w:val="Style1"/>
        <w:adjustRightInd/>
      </w:pPr>
      <w:r w:rsidRPr="003C62BC">
        <w:t>ART. 19 — Entrata in vigore</w:t>
      </w:r>
    </w:p>
    <w:p w:rsidR="007B2185" w:rsidRPr="00777237" w:rsidRDefault="007B2185" w:rsidP="007B2185">
      <w:pPr>
        <w:framePr w:hSpace="141" w:wrap="around" w:vAnchor="text" w:hAnchor="text" w:y="1"/>
        <w:autoSpaceDE w:val="0"/>
        <w:autoSpaceDN w:val="0"/>
        <w:adjustRightInd w:val="0"/>
        <w:suppressOverlap/>
        <w:rPr>
          <w:rFonts w:ascii="Times New Roman" w:hAnsi="Times New Roman" w:cs="Times New Roman"/>
          <w:b/>
          <w:bCs/>
          <w:color w:val="000000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7B2185" w:rsidRDefault="007B2185" w:rsidP="007B2185">
      <w:pPr>
        <w:spacing w:before="792" w:line="372" w:lineRule="atLeast"/>
        <w:jc w:val="center"/>
        <w:rPr>
          <w:rFonts w:ascii="Times New Roman" w:hAnsi="Times New Roman" w:cs="Times New Roman"/>
          <w:lang w:val="it-IT"/>
        </w:rPr>
      </w:pPr>
    </w:p>
    <w:p w:rsidR="00BD50C5" w:rsidRDefault="00BD50C5" w:rsidP="00BD50C5">
      <w:pPr>
        <w:pStyle w:val="Style1"/>
        <w:adjustRightInd/>
        <w:jc w:val="center"/>
        <w:rPr>
          <w:b/>
        </w:rPr>
      </w:pPr>
    </w:p>
    <w:p w:rsidR="00BD50C5" w:rsidRDefault="00BD50C5" w:rsidP="00BD50C5">
      <w:pPr>
        <w:pStyle w:val="Style1"/>
        <w:adjustRightInd/>
        <w:jc w:val="center"/>
        <w:rPr>
          <w:b/>
        </w:rPr>
      </w:pPr>
    </w:p>
    <w:p w:rsidR="00BD50C5" w:rsidRPr="00BD50C5" w:rsidRDefault="00BD50C5" w:rsidP="00BD50C5">
      <w:pPr>
        <w:pStyle w:val="Style1"/>
        <w:adjustRightInd/>
        <w:jc w:val="center"/>
        <w:rPr>
          <w:b/>
        </w:rPr>
      </w:pPr>
      <w:r w:rsidRPr="00BD50C5">
        <w:rPr>
          <w:b/>
        </w:rPr>
        <w:t>TITOLO I</w:t>
      </w:r>
    </w:p>
    <w:p w:rsidR="00BD50C5" w:rsidRPr="00BD50C5" w:rsidRDefault="00BD50C5" w:rsidP="00BD50C5">
      <w:pPr>
        <w:pStyle w:val="Style1"/>
        <w:adjustRightInd/>
        <w:jc w:val="center"/>
        <w:rPr>
          <w:b/>
        </w:rPr>
      </w:pPr>
      <w:r w:rsidRPr="00BD50C5">
        <w:rPr>
          <w:b/>
        </w:rPr>
        <w:t>CONCESSIONE PROVVIDENZE ECONOMICHE</w:t>
      </w:r>
    </w:p>
    <w:p w:rsidR="00BD50C5" w:rsidRDefault="00BD50C5" w:rsidP="00BD50C5">
      <w:pPr>
        <w:pStyle w:val="Style1"/>
        <w:adjustRightInd/>
        <w:jc w:val="center"/>
        <w:rPr>
          <w:b/>
          <w:bCs/>
        </w:rPr>
      </w:pPr>
    </w:p>
    <w:p w:rsidR="007B2185" w:rsidRDefault="007B2185" w:rsidP="007B2185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.1</w:t>
      </w:r>
    </w:p>
    <w:p w:rsidR="007B2185" w:rsidRPr="003C62BC" w:rsidRDefault="007B2185" w:rsidP="007B2185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 xml:space="preserve"> Finalità ed area di intervento</w:t>
      </w:r>
    </w:p>
    <w:p w:rsidR="007B2185" w:rsidRPr="00ED7EFD" w:rsidRDefault="007B2185" w:rsidP="007B2185">
      <w:pPr>
        <w:pStyle w:val="Style1"/>
        <w:adjustRightInd/>
        <w:jc w:val="both"/>
        <w:rPr>
          <w:b/>
          <w:bCs/>
        </w:rPr>
      </w:pPr>
      <w:r w:rsidRPr="00ED7EFD">
        <w:rPr>
          <w:rStyle w:val="Enfasigrassetto"/>
          <w:rFonts w:eastAsiaTheme="minorEastAsia"/>
          <w:b w:val="0"/>
        </w:rPr>
        <w:t>L’Unione, in conformità dell’art. 118 della Costituzione promuover e favorisce l'autonoma iniziativa dei cittadini, singoli e associati, per lo svolgimento di attività di interesse generale, sulla base del principio di sussidiarietà</w:t>
      </w:r>
      <w:r w:rsidRPr="00ED7EFD">
        <w:rPr>
          <w:rStyle w:val="apple-style-span"/>
          <w:b/>
        </w:rPr>
        <w:t>.</w:t>
      </w:r>
    </w:p>
    <w:p w:rsidR="007B2185" w:rsidRPr="003C62BC" w:rsidRDefault="007B2185" w:rsidP="007B2185">
      <w:pPr>
        <w:pStyle w:val="Style1"/>
        <w:adjustRightInd/>
        <w:jc w:val="both"/>
      </w:pPr>
      <w:r w:rsidRPr="003C62BC">
        <w:t xml:space="preserve">L'Unione di Comuni città Territorio </w:t>
      </w:r>
      <w:proofErr w:type="spellStart"/>
      <w:r w:rsidRPr="003C62BC">
        <w:t>Val</w:t>
      </w:r>
      <w:proofErr w:type="spellEnd"/>
      <w:r w:rsidRPr="003C62BC">
        <w:t xml:space="preserve"> Vibrata stabilisce con il presente regolamento, ai fini dell'applicazione dell'art. 12 della legge 7.8.1990, n.241 e </w:t>
      </w:r>
      <w:proofErr w:type="spellStart"/>
      <w:r w:rsidRPr="003C62BC">
        <w:t>s.m.i.</w:t>
      </w:r>
      <w:proofErr w:type="spellEnd"/>
      <w:r w:rsidRPr="003C62BC">
        <w:t>, i criteri, le modalità e le procedure per la concessione di finanziamenti e benefici economici a privati, ad Associazioni, Comitati, Istituzioni ed organismi senza fini di lucro e comunque operanti nel territorio di competenza, che nel proprio territorio perseguono fini assistenziali, solidaristici, umanitari, culturali, turistici, sportivi, ambientalistici, civili e sociali in genere.</w:t>
      </w:r>
    </w:p>
    <w:p w:rsidR="007B2185" w:rsidRPr="003C62BC" w:rsidRDefault="007B2185" w:rsidP="007B2185">
      <w:pPr>
        <w:pStyle w:val="Style1"/>
        <w:adjustRightInd/>
        <w:jc w:val="both"/>
      </w:pPr>
      <w:r w:rsidRPr="003C62BC">
        <w:t xml:space="preserve">Il sostegno della Amministrazione è concedibile anche quando analoghe attività ed iniziative sono promosse ed organizzate dagli stessi soggetti e dalle associazioni indicate nel comma 1 fuori del territorio dell'Unione di Comuni allo scopo di rappresentare i valori, gli interessi e l'immagine del territorio </w:t>
      </w:r>
      <w:proofErr w:type="spellStart"/>
      <w:r w:rsidRPr="003C62BC">
        <w:t>vibratiano</w:t>
      </w:r>
      <w:proofErr w:type="spellEnd"/>
      <w:r w:rsidRPr="003C62BC">
        <w:t>.</w:t>
      </w:r>
    </w:p>
    <w:p w:rsidR="007B2185" w:rsidRPr="003C62BC" w:rsidRDefault="007B2185" w:rsidP="007B2185">
      <w:pPr>
        <w:pStyle w:val="Style1"/>
        <w:adjustRightInd/>
        <w:ind w:right="144"/>
        <w:jc w:val="both"/>
      </w:pPr>
      <w:r w:rsidRPr="003C62BC">
        <w:rPr>
          <w:spacing w:val="-2"/>
        </w:rPr>
        <w:t>Stabilisce altresì i criteri e le modalità, nonché le forme di pubblicità, per la concessione del patrocinio</w:t>
      </w:r>
      <w:r w:rsidRPr="003C62BC">
        <w:t xml:space="preserve"> ad iniziative e manifestazioni di particolare valore culturale, scientifico, sociale, educativo, sportivo, ambientale ed economico.</w:t>
      </w:r>
    </w:p>
    <w:p w:rsidR="00A90D83" w:rsidRDefault="007B2185" w:rsidP="00A90D83">
      <w:pPr>
        <w:pStyle w:val="Style1"/>
        <w:adjustRightInd/>
        <w:jc w:val="both"/>
      </w:pPr>
      <w:r w:rsidRPr="003C62BC">
        <w:t xml:space="preserve">L'Ente dispone le iniziative più idonee per assicurare la più ampia e diffusa conoscenza del presente regolamento da parte degli enti ed istituzioni pubbliche e private, delle forze sociali e dell'intera comunità </w:t>
      </w:r>
      <w:proofErr w:type="spellStart"/>
      <w:r w:rsidRPr="003C62BC">
        <w:t>vibratiana</w:t>
      </w:r>
      <w:proofErr w:type="spellEnd"/>
      <w:r w:rsidRPr="003C62BC">
        <w:t>.</w:t>
      </w:r>
    </w:p>
    <w:p w:rsidR="007B2185" w:rsidRPr="00ED7EFD" w:rsidRDefault="007B2185" w:rsidP="00A90D83">
      <w:pPr>
        <w:pStyle w:val="Style1"/>
        <w:adjustRightInd/>
        <w:jc w:val="both"/>
        <w:rPr>
          <w:rStyle w:val="apple-style-span"/>
        </w:rPr>
      </w:pPr>
      <w:r w:rsidRPr="00ED7EFD">
        <w:t xml:space="preserve">Sono vietati </w:t>
      </w:r>
      <w:r w:rsidRPr="00ED7EFD">
        <w:rPr>
          <w:rStyle w:val="apple-style-span"/>
          <w:shd w:val="clear" w:color="auto" w:fill="FFFFFF"/>
        </w:rPr>
        <w:t>espressamente i contributi per sponsorizzazione diretti alla semplice finalità di segnalare ai cittadini la presenza dell’Unione, così da promuoverne l’immagine dell’Ente.</w:t>
      </w: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 xml:space="preserve">. 2 </w:t>
      </w:r>
    </w:p>
    <w:p w:rsidR="00A90D83" w:rsidRPr="003C62BC" w:rsidRDefault="00A90D83" w:rsidP="00A90D83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Tipologia e natura delle provvidenze</w:t>
      </w:r>
    </w:p>
    <w:p w:rsidR="00A90D83" w:rsidRPr="003C62BC" w:rsidRDefault="00A90D83" w:rsidP="00A90D83">
      <w:pPr>
        <w:pStyle w:val="Style1"/>
        <w:numPr>
          <w:ilvl w:val="0"/>
          <w:numId w:val="1"/>
        </w:numPr>
        <w:tabs>
          <w:tab w:val="clear" w:pos="288"/>
          <w:tab w:val="num" w:pos="0"/>
        </w:tabs>
        <w:adjustRightInd/>
        <w:ind w:right="216"/>
        <w:jc w:val="both"/>
      </w:pPr>
      <w:r w:rsidRPr="003C62BC">
        <w:t>Per gli scopi di cui all</w:t>
      </w:r>
      <w:r w:rsidRPr="003C62BC">
        <w:rPr>
          <w:vertAlign w:val="superscript"/>
        </w:rPr>
        <w:t>'</w:t>
      </w:r>
      <w:r w:rsidRPr="003C62BC">
        <w:t xml:space="preserve">art.1 l'Amministrazione stanzia ogni anno nel proprio bilancio, secondo le </w:t>
      </w:r>
      <w:r w:rsidRPr="003C62BC">
        <w:rPr>
          <w:spacing w:val="-2"/>
        </w:rPr>
        <w:t>disponibilità finanziarie, somme destinate alla concessione di contributi, sovvenzioni, sussidi ed ausili</w:t>
      </w:r>
      <w:r w:rsidRPr="003C62BC">
        <w:t xml:space="preserve"> finanziari e all' attribuzione di vantaggi economici di qualunque genere ad Enti pubblici e privati, ad Associazioni, Comitati, Istituzioni ecc., che svolgono un'attività rientrant</w:t>
      </w:r>
      <w:r>
        <w:t>e negli scopi di cui all</w:t>
      </w:r>
      <w:r w:rsidRPr="003C62BC">
        <w:t>' art. 1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Le provvidenze di cui al presente regolamento sono ammissibili con riferimento ad iniziative, attività e progetti specifici approvati dall’Amministrazione; sono escluse, in particolare, le spese riferite alle attività generali di gestione del beneficiario.</w:t>
      </w:r>
    </w:p>
    <w:p w:rsidR="00A90D83" w:rsidRPr="003C62BC" w:rsidRDefault="00A90D83" w:rsidP="00A90D83">
      <w:pPr>
        <w:pStyle w:val="Style1"/>
        <w:numPr>
          <w:ilvl w:val="0"/>
          <w:numId w:val="1"/>
        </w:numPr>
        <w:tabs>
          <w:tab w:val="clear" w:pos="288"/>
          <w:tab w:val="num" w:pos="426"/>
        </w:tabs>
        <w:adjustRightInd/>
        <w:jc w:val="both"/>
      </w:pPr>
      <w:r w:rsidRPr="003C62BC">
        <w:t>Le provvidenze che arrecano vantaggi unilaterali alle controparti si articolano in forma di:</w:t>
      </w:r>
    </w:p>
    <w:p w:rsidR="00A90D83" w:rsidRPr="003C62BC" w:rsidRDefault="00A90D83" w:rsidP="00A90D83">
      <w:pPr>
        <w:pStyle w:val="Style1"/>
        <w:numPr>
          <w:ilvl w:val="0"/>
          <w:numId w:val="2"/>
        </w:numPr>
        <w:adjustRightInd/>
        <w:jc w:val="both"/>
      </w:pPr>
      <w:r w:rsidRPr="003C62BC">
        <w:t>sovvenzioni, allorquando l'Amministrazione si fa carico interamente dell'onere derivante da una attività svolta da una iniziativa organizzata da altri soggetti e che comunque si iscrive nei suoi indirizzi programmatici.</w:t>
      </w:r>
    </w:p>
    <w:p w:rsidR="00A90D83" w:rsidRPr="003C62BC" w:rsidRDefault="00A90D83" w:rsidP="00A90D83">
      <w:pPr>
        <w:pStyle w:val="Style1"/>
        <w:adjustRightInd/>
        <w:jc w:val="both"/>
      </w:pPr>
      <w:r w:rsidRPr="003C62BC">
        <w:t>- contributi, allorquando le provvidenze, aventi carattere occasionale o continuativo, sono dirette a favorire attività e/o iniziative per le quali l'Ente si accolla solo una parte dell'onere complessivo, ritenendole in ogni caso valide.</w:t>
      </w:r>
    </w:p>
    <w:p w:rsidR="00A90D83" w:rsidRPr="003C62BC" w:rsidRDefault="00A90D83" w:rsidP="00A90D83">
      <w:pPr>
        <w:pStyle w:val="Style1"/>
        <w:numPr>
          <w:ilvl w:val="0"/>
          <w:numId w:val="3"/>
        </w:numPr>
        <w:adjustRightInd/>
        <w:jc w:val="both"/>
      </w:pPr>
      <w:r w:rsidRPr="003C62BC">
        <w:t xml:space="preserve">sussidi, allorquando si è in presenza di altre forme di provvidenze, che non rientrino nelle precedenti categorie, finalizzate a sostegno delle attività e iniziative svolte dai soggetti richiedenti. - vantaggi economici, </w:t>
      </w:r>
      <w:proofErr w:type="spellStart"/>
      <w:r w:rsidRPr="003C62BC">
        <w:t>allórquando</w:t>
      </w:r>
      <w:proofErr w:type="spellEnd"/>
      <w:r w:rsidRPr="003C62BC">
        <w:t xml:space="preserve"> sono riferiti alla fruizione occasionale e temporanea di beni mobili e immobili di proprietà ovvero nella disponibilità dell'Ente.</w:t>
      </w: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lastRenderedPageBreak/>
        <w:t>Art</w:t>
      </w:r>
      <w:r w:rsidRPr="003C62BC">
        <w:rPr>
          <w:b/>
          <w:bCs/>
        </w:rPr>
        <w:t>. 3</w:t>
      </w:r>
    </w:p>
    <w:p w:rsidR="00A90D83" w:rsidRPr="003C62BC" w:rsidRDefault="00A90D83" w:rsidP="00A90D83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Indirizzi del Consiglio dell'Unione</w:t>
      </w:r>
    </w:p>
    <w:p w:rsidR="00A90D83" w:rsidRPr="00945274" w:rsidRDefault="00A90D83" w:rsidP="00A90D83">
      <w:pPr>
        <w:pStyle w:val="Style1"/>
        <w:numPr>
          <w:ilvl w:val="0"/>
          <w:numId w:val="4"/>
        </w:numPr>
        <w:adjustRightInd/>
        <w:jc w:val="both"/>
      </w:pPr>
      <w:r w:rsidRPr="003C62BC">
        <w:t>Il consiglio dell'Ente determina l'ammontare delle risorse finanziarie da destinare complessivamente e individua le forme di pubblicità e informazione</w:t>
      </w:r>
    </w:p>
    <w:p w:rsidR="00A90D83" w:rsidRPr="00A90D83" w:rsidRDefault="00A90D83" w:rsidP="00A90D83">
      <w:pPr>
        <w:rPr>
          <w:rFonts w:ascii="Times New Roman" w:hAnsi="Times New Roman" w:cs="Times New Roman"/>
          <w:lang w:val="it-IT"/>
        </w:rPr>
      </w:pPr>
      <w:r w:rsidRPr="00A90D83">
        <w:rPr>
          <w:rFonts w:ascii="Times New Roman" w:hAnsi="Times New Roman" w:cs="Times New Roman"/>
          <w:lang w:val="it-IT"/>
        </w:rPr>
        <w:t>Il Consiglio stabilisce, con propri indirizzi, quali siano le tipologie delle iniziative e/o delle attività verso le quali indirizzare prioritariamente le assegnazioni delle provvidenze dì cui all' art.2.</w:t>
      </w:r>
    </w:p>
    <w:p w:rsidR="00A90D83" w:rsidRPr="00777237" w:rsidRDefault="00A90D83" w:rsidP="00A90D83">
      <w:pPr>
        <w:jc w:val="center"/>
        <w:rPr>
          <w:rFonts w:ascii="Times New Roman" w:hAnsi="Times New Roman" w:cs="Times New Roman"/>
          <w:b/>
          <w:lang w:val="it-IT"/>
        </w:rPr>
      </w:pPr>
    </w:p>
    <w:p w:rsidR="00A90D83" w:rsidRPr="00777237" w:rsidRDefault="00A90D83" w:rsidP="00A90D83">
      <w:pPr>
        <w:jc w:val="center"/>
        <w:rPr>
          <w:rFonts w:ascii="Times New Roman" w:hAnsi="Times New Roman" w:cs="Times New Roman"/>
          <w:b/>
          <w:lang w:val="it-IT"/>
        </w:rPr>
      </w:pPr>
      <w:r w:rsidRPr="00777237">
        <w:rPr>
          <w:rFonts w:ascii="Times New Roman" w:hAnsi="Times New Roman" w:cs="Times New Roman"/>
          <w:b/>
          <w:lang w:val="it-IT"/>
        </w:rPr>
        <w:t>Art. 4</w:t>
      </w:r>
    </w:p>
    <w:p w:rsidR="00A90D83" w:rsidRPr="00777237" w:rsidRDefault="00A90D83" w:rsidP="00A90D83">
      <w:pPr>
        <w:jc w:val="center"/>
        <w:rPr>
          <w:rFonts w:ascii="Times New Roman" w:hAnsi="Times New Roman" w:cs="Times New Roman"/>
          <w:b/>
          <w:lang w:val="it-IT"/>
        </w:rPr>
      </w:pPr>
      <w:r w:rsidRPr="00777237">
        <w:rPr>
          <w:rFonts w:ascii="Times New Roman" w:hAnsi="Times New Roman" w:cs="Times New Roman"/>
          <w:b/>
          <w:lang w:val="it-IT"/>
        </w:rPr>
        <w:t>Richiesta di provvidenze</w:t>
      </w:r>
    </w:p>
    <w:p w:rsidR="00A90D83" w:rsidRPr="003C62BC" w:rsidRDefault="00A90D83" w:rsidP="00A90D83">
      <w:pPr>
        <w:pStyle w:val="Style1"/>
        <w:adjustRightInd/>
        <w:ind w:right="72"/>
        <w:jc w:val="both"/>
      </w:pPr>
      <w:r w:rsidRPr="003C62BC">
        <w:rPr>
          <w:spacing w:val="-2"/>
        </w:rPr>
        <w:t>1. Le richieste di ammissione alle provvidenze, dirette al Presidente, devono contenere una descrizione</w:t>
      </w:r>
      <w:r w:rsidRPr="003C62BC">
        <w:t xml:space="preserve"> delle attività, delle iniziative e/o dei programmi da realizzare e delle modalità e fonti di finanziamento. Alla richiesta deve essere allegata la documentazione idonea a consentire il riscontro dei requisiti prescritti dal presente regolamento.</w:t>
      </w:r>
    </w:p>
    <w:p w:rsidR="00A90D83" w:rsidRPr="003C62BC" w:rsidRDefault="00A90D83" w:rsidP="00A90D83">
      <w:pPr>
        <w:pStyle w:val="Style1"/>
        <w:adjustRightInd/>
        <w:ind w:right="72"/>
        <w:jc w:val="both"/>
      </w:pPr>
      <w:r w:rsidRPr="003C62BC">
        <w:t>2</w:t>
      </w:r>
      <w:r>
        <w:t>.</w:t>
      </w:r>
      <w:r w:rsidRPr="003C62BC">
        <w:t>Nella domanda di contributo, salvo che non sia previsto nei singoli statuti, gli interessati dovranno dichiarare espressamente che non viene perseguito alcun fine di lucro o di guadagno.</w:t>
      </w:r>
    </w:p>
    <w:p w:rsidR="00A90D83" w:rsidRPr="00ED7EFD" w:rsidRDefault="00A90D83" w:rsidP="00A90D83">
      <w:pPr>
        <w:pStyle w:val="Style1"/>
        <w:adjustRightInd/>
        <w:ind w:right="72"/>
        <w:jc w:val="both"/>
      </w:pPr>
      <w:r w:rsidRPr="00ED7EFD">
        <w:rPr>
          <w:b/>
        </w:rPr>
        <w:t>3</w:t>
      </w:r>
      <w:r w:rsidRPr="00ED7EFD">
        <w:t>. Il termine per la presentazione delle richieste di sovvenzioni e contributi è stabilito annualmente dalla Giunta Complessiva.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Il responsabile del servizio preposto ai settori di intervento, pubblicizza, a mezzo del sito internet istituzionale dell’Ente e altre forme di pubblicizzazione, la data di scadenza per la presentazione delle domande.</w:t>
      </w:r>
    </w:p>
    <w:p w:rsidR="00A90D83" w:rsidRPr="00ED7EFD" w:rsidRDefault="00A90D83" w:rsidP="00A90D83">
      <w:pPr>
        <w:pStyle w:val="Style1"/>
        <w:adjustRightInd/>
      </w:pPr>
      <w:r w:rsidRPr="00ED7EFD">
        <w:t>Le domande dovranno essere corredate da:</w:t>
      </w:r>
    </w:p>
    <w:p w:rsidR="00A90D83" w:rsidRPr="00ED7EFD" w:rsidRDefault="00A90D83" w:rsidP="00A90D83">
      <w:pPr>
        <w:pStyle w:val="Style1"/>
        <w:numPr>
          <w:ilvl w:val="0"/>
          <w:numId w:val="5"/>
        </w:numPr>
        <w:adjustRightInd/>
        <w:jc w:val="both"/>
      </w:pPr>
      <w:r w:rsidRPr="00ED7EFD">
        <w:t>copia dello statuto vigente del soggetto richiedente, ove non già presentato precedentemente (solo per le sovvenzioni continuative o quando l’Ente si carica l’intero importo dell’attività);</w:t>
      </w:r>
    </w:p>
    <w:p w:rsidR="00A90D83" w:rsidRPr="00ED7EFD" w:rsidRDefault="00A90D83" w:rsidP="00A90D83">
      <w:pPr>
        <w:pStyle w:val="Style1"/>
        <w:numPr>
          <w:ilvl w:val="0"/>
          <w:numId w:val="5"/>
        </w:numPr>
        <w:adjustRightInd/>
        <w:jc w:val="both"/>
      </w:pPr>
      <w:r w:rsidRPr="00ED7EFD">
        <w:t>copia dell'ultimo bilancio di esercizio, in quanto richiesto per legge, con le relazioni che lo accompagnano, ovvero adeguata documentazione (solo per le sovvenzioni continuative o quando l’Ente si carica l’intero importo dell’attività);</w:t>
      </w:r>
    </w:p>
    <w:p w:rsidR="00A90D83" w:rsidRPr="00ED7EFD" w:rsidRDefault="00A90D83" w:rsidP="00A90D83">
      <w:pPr>
        <w:pStyle w:val="Style1"/>
        <w:numPr>
          <w:ilvl w:val="0"/>
          <w:numId w:val="5"/>
        </w:numPr>
        <w:adjustRightInd/>
        <w:ind w:right="72"/>
        <w:jc w:val="both"/>
      </w:pPr>
      <w:r w:rsidRPr="00ED7EFD">
        <w:t>relazione illustrativa dei programmi di attività per l'esercizio cui si riferisce la richiesta, della loro rilevanza sociale e territoriale, dei relativi destinatari e fruitori, dei costi e delle risorse finanziarie con la specificazione dei mezzi di provenienza pubblica e quelli ricavabili dalle attività a pagamento.</w:t>
      </w:r>
    </w:p>
    <w:p w:rsidR="00A90D83" w:rsidRPr="00ED7EFD" w:rsidRDefault="00A90D83" w:rsidP="00A90D83">
      <w:pPr>
        <w:pStyle w:val="Style1"/>
        <w:numPr>
          <w:ilvl w:val="0"/>
          <w:numId w:val="5"/>
        </w:numPr>
        <w:adjustRightInd/>
        <w:ind w:right="72"/>
        <w:jc w:val="both"/>
      </w:pPr>
      <w:r w:rsidRPr="00ED7EFD">
        <w:t>attività che si propone di svolgere in sintonia con gli indirizzi programmatici dell'Unione di Comuni;</w:t>
      </w:r>
    </w:p>
    <w:p w:rsidR="00A90D83" w:rsidRPr="00ED7EFD" w:rsidRDefault="00A90D83" w:rsidP="00A90D83">
      <w:pPr>
        <w:pStyle w:val="Style1"/>
        <w:adjustRightInd/>
        <w:ind w:right="72"/>
        <w:jc w:val="both"/>
      </w:pPr>
      <w:r w:rsidRPr="00ED7EFD">
        <w:t>4. Le istanze relative a specifiche attività od iniziative devono essere presentate entro il termine  previsto dall’avviso di cui al precedente art. 4, comma 3°, e contenere le indicazioni di cui al precedente comma, lettere a), b), c) d) e una relazione descrittiva della natura e delle caratteristiche dell'attività e/o iniziativa, delle sue finalità ed obiettivi, dei destinatari o fruitori, della sua rilevanza sociale e territoriale, del preventivo delle spese e dei mezzi previsti per il loro finanziamento con la specificazione delle entrate secondo la loro natura e provenienza.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4 bis. La valutazione della richiesta farà riferimento al criterio della "rilevanza sociale" sull’intero territorio dell’Unione di Comuni  intesa come rilevanza congiunta dei seguenti requisiti: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- servizio, attività, evento che svolgerebbe direttamente l’Unione con riferimento ai fini istituzionali della medesima;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- grado con cui l'attività svolta persegue interessi pubblici in relazione alle tematiche ritenute più significative;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- carattere innovativo e originale dell’attività proposta, e qualità progettuale;</w:t>
      </w:r>
    </w:p>
    <w:p w:rsidR="00A90D83" w:rsidRPr="00ED7EFD" w:rsidRDefault="00A90D83" w:rsidP="00A90D83">
      <w:pPr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- caratteristiche soggettive del richiedente.</w:t>
      </w:r>
    </w:p>
    <w:p w:rsidR="00A90D83" w:rsidRPr="00ED7EFD" w:rsidRDefault="00A90D83" w:rsidP="00A90D83">
      <w:pPr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L'Ente può richiedere ai soggetti interessati la documentazione integrativa utile alla migliore conoscenza della attività e alla precisa definizione della istruttoria.</w:t>
      </w:r>
    </w:p>
    <w:p w:rsidR="000016F8" w:rsidRPr="00ED7EFD" w:rsidRDefault="000016F8" w:rsidP="00A90D83">
      <w:pPr>
        <w:pStyle w:val="Style1"/>
        <w:adjustRightInd/>
        <w:jc w:val="center"/>
        <w:rPr>
          <w:b/>
          <w:spacing w:val="10"/>
        </w:rPr>
      </w:pPr>
    </w:p>
    <w:p w:rsidR="000016F8" w:rsidRDefault="000016F8" w:rsidP="00A90D83">
      <w:pPr>
        <w:pStyle w:val="Style1"/>
        <w:adjustRightInd/>
        <w:jc w:val="center"/>
        <w:rPr>
          <w:b/>
          <w:color w:val="FF0000"/>
          <w:spacing w:val="10"/>
        </w:rPr>
      </w:pPr>
    </w:p>
    <w:p w:rsidR="00ED7EFD" w:rsidRDefault="00ED7EFD" w:rsidP="00A90D83">
      <w:pPr>
        <w:pStyle w:val="Style1"/>
        <w:adjustRightInd/>
        <w:jc w:val="center"/>
        <w:rPr>
          <w:b/>
          <w:spacing w:val="10"/>
        </w:rPr>
      </w:pPr>
    </w:p>
    <w:p w:rsidR="00A90D83" w:rsidRPr="00ED7EFD" w:rsidRDefault="00A90D83" w:rsidP="00A90D83">
      <w:pPr>
        <w:pStyle w:val="Style1"/>
        <w:adjustRightInd/>
        <w:jc w:val="center"/>
        <w:rPr>
          <w:b/>
          <w:bCs/>
        </w:rPr>
      </w:pPr>
      <w:r w:rsidRPr="00ED7EFD">
        <w:rPr>
          <w:b/>
          <w:spacing w:val="10"/>
        </w:rPr>
        <w:lastRenderedPageBreak/>
        <w:t xml:space="preserve">Art. </w:t>
      </w:r>
      <w:r w:rsidRPr="00ED7EFD">
        <w:rPr>
          <w:b/>
          <w:bCs/>
        </w:rPr>
        <w:t xml:space="preserve">5 </w:t>
      </w:r>
    </w:p>
    <w:p w:rsidR="00A90D83" w:rsidRPr="00ED7EFD" w:rsidRDefault="00A90D83" w:rsidP="00A90D83">
      <w:pPr>
        <w:pStyle w:val="Style1"/>
        <w:adjustRightInd/>
        <w:jc w:val="center"/>
        <w:rPr>
          <w:b/>
          <w:bCs/>
        </w:rPr>
      </w:pPr>
      <w:r w:rsidRPr="00ED7EFD">
        <w:rPr>
          <w:b/>
          <w:bCs/>
        </w:rPr>
        <w:t xml:space="preserve"> Istruttoria delle richieste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1. Le domande vanno istruite dal responsabile del Servizio.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 xml:space="preserve">2. Le domande debitamente istruite sono trasmesse </w:t>
      </w:r>
      <w:r w:rsidRPr="00ED7EFD">
        <w:rPr>
          <w:rFonts w:ascii="Times New Roman" w:hAnsi="Times New Roman" w:cs="Times New Roman"/>
          <w:bCs/>
          <w:lang w:val="it-IT"/>
        </w:rPr>
        <w:t xml:space="preserve">alla Giunta Complessiva che  </w:t>
      </w:r>
      <w:r w:rsidRPr="00ED7EFD">
        <w:rPr>
          <w:rFonts w:ascii="Times New Roman" w:hAnsi="Times New Roman" w:cs="Times New Roman"/>
          <w:lang w:val="it-IT"/>
        </w:rPr>
        <w:t>decide in ordine ai soggetti ed alle iniziative progettuali, nonché,  effettua il riparto delle somme tra le iniziative ammesse e meritorie di contribuzione.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3. L’atto, corredato dai pareri previsti per legge fissa altresì le clausole cui è subordinata la concessione della sovvenzione o contributo.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4. In ogni caso l’erogazione della sovvenzione o del contributo è subordinata alla produzione delle autorizzazioni necessarie per svolgere l’attività o l’iniziativa.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5. La sovvenzione o il contributo sarà liquidato nell’entità stabilita nella deliberazione di concessione, previa dichiarazione attestante lo svolgimento dell’attività proposta e la spesa effettivamente sostenuta, risultante dal Bilancio consuntivo, completo di entrate e uscite. Nel caso di minori spese e/o maggiori entrate rispetto a quanto dichiarato in sede di previsione, il contributo potrà essere confermato o rideterminato dall’organo che lo ha assegnato.</w:t>
      </w:r>
    </w:p>
    <w:p w:rsidR="00A90D83" w:rsidRPr="00ED7EFD" w:rsidRDefault="00A90D83" w:rsidP="00A90D83">
      <w:pPr>
        <w:adjustRightInd w:val="0"/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6. La concessione di sovvenzione o contributo non conferisce diritto, né aspettative di continuità per gli anni successivi, con esclusione di quelle ritenute continuative e formalmente deliberate .</w:t>
      </w:r>
    </w:p>
    <w:p w:rsidR="00A90D83" w:rsidRPr="00ED7EFD" w:rsidRDefault="00A90D83" w:rsidP="00A90D83">
      <w:pPr>
        <w:jc w:val="both"/>
        <w:rPr>
          <w:rFonts w:ascii="Times New Roman" w:hAnsi="Times New Roman" w:cs="Times New Roman"/>
          <w:lang w:val="it-IT"/>
        </w:rPr>
      </w:pPr>
      <w:r w:rsidRPr="00ED7EFD">
        <w:rPr>
          <w:rFonts w:ascii="Times New Roman" w:hAnsi="Times New Roman" w:cs="Times New Roman"/>
          <w:lang w:val="it-IT"/>
        </w:rPr>
        <w:t>7. La concessione di benefici e forme di sostegno economico per iniziative non occasionali è disciplinata da apposite convenzioni che, in relazione alla natura delle attività, possono essere di durata superiore all’anno e comunque non superiore ai cinque anni, rinnovabili esclusivamente con atto espresso.</w:t>
      </w: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 6</w:t>
      </w:r>
    </w:p>
    <w:p w:rsidR="00A90D83" w:rsidRPr="003C62BC" w:rsidRDefault="00A90D83" w:rsidP="00A90D83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Criteri di assegnazione</w:t>
      </w:r>
    </w:p>
    <w:p w:rsidR="00A90D83" w:rsidRPr="003C62BC" w:rsidRDefault="00A90D83" w:rsidP="00A90D83">
      <w:pPr>
        <w:pStyle w:val="Style1"/>
        <w:adjustRightInd/>
        <w:ind w:right="144"/>
        <w:jc w:val="both"/>
      </w:pPr>
      <w:r w:rsidRPr="003C62BC">
        <w:rPr>
          <w:spacing w:val="-2"/>
        </w:rPr>
        <w:t>1. La Giunta, i</w:t>
      </w:r>
      <w:r>
        <w:rPr>
          <w:spacing w:val="-2"/>
        </w:rPr>
        <w:t>n base agli indirizzi di cui all</w:t>
      </w:r>
      <w:r w:rsidRPr="003C62BC">
        <w:rPr>
          <w:spacing w:val="-2"/>
        </w:rPr>
        <w:t>' art. 4 c.2, alle risorse disponibili, al numero delle domande</w:t>
      </w:r>
      <w:r w:rsidRPr="003C62BC">
        <w:t xml:space="preserve"> ammissibili e conduzione dell'istruttoria, predispone il piano di riparto delle provvidenze con riferimento ai seguenti criteri generali:</w:t>
      </w:r>
    </w:p>
    <w:p w:rsidR="00A90D83" w:rsidRPr="003C62BC" w:rsidRDefault="00A90D83" w:rsidP="00A90D83">
      <w:pPr>
        <w:pStyle w:val="Style1"/>
        <w:adjustRightInd/>
        <w:jc w:val="both"/>
      </w:pPr>
      <w:r w:rsidRPr="003C62BC">
        <w:t>a) per attività annuale del richiedente:</w:t>
      </w:r>
    </w:p>
    <w:p w:rsidR="00A90D83" w:rsidRPr="003C62BC" w:rsidRDefault="00A90D83" w:rsidP="00A90D83">
      <w:pPr>
        <w:ind w:left="426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a.l. assenza di fini di lucro statutari;</w:t>
      </w:r>
    </w:p>
    <w:p w:rsidR="00A90D83" w:rsidRPr="003C62BC" w:rsidRDefault="00A90D83" w:rsidP="00A90D83">
      <w:pPr>
        <w:widowControl w:val="0"/>
        <w:numPr>
          <w:ilvl w:val="0"/>
          <w:numId w:val="6"/>
        </w:numPr>
        <w:autoSpaceDE w:val="0"/>
        <w:autoSpaceDN w:val="0"/>
        <w:ind w:left="426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utilità, importanza, rilievo civile e sociale delle finalità statutarie e della attività annualmente svolta;</w:t>
      </w:r>
    </w:p>
    <w:p w:rsidR="00A90D83" w:rsidRPr="003C62BC" w:rsidRDefault="00A90D83" w:rsidP="00A90D83">
      <w:pPr>
        <w:widowControl w:val="0"/>
        <w:numPr>
          <w:ilvl w:val="0"/>
          <w:numId w:val="6"/>
        </w:numPr>
        <w:autoSpaceDE w:val="0"/>
        <w:autoSpaceDN w:val="0"/>
        <w:ind w:left="426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 xml:space="preserve">coincidenza della attività con interessi generali o diffusi nella comunità </w:t>
      </w:r>
      <w:proofErr w:type="spellStart"/>
      <w:r w:rsidRPr="003C62BC">
        <w:rPr>
          <w:rFonts w:ascii="Times New Roman" w:hAnsi="Times New Roman" w:cs="Times New Roman"/>
          <w:lang w:val="it-IT"/>
        </w:rPr>
        <w:t>vibratiana</w:t>
      </w:r>
      <w:proofErr w:type="spellEnd"/>
      <w:r w:rsidRPr="003C62BC">
        <w:rPr>
          <w:rFonts w:ascii="Times New Roman" w:hAnsi="Times New Roman" w:cs="Times New Roman"/>
          <w:lang w:val="it-IT"/>
        </w:rPr>
        <w:t>;</w:t>
      </w:r>
    </w:p>
    <w:p w:rsidR="00A90D83" w:rsidRPr="003C62BC" w:rsidRDefault="00A90D83" w:rsidP="00A90D83">
      <w:pPr>
        <w:widowControl w:val="0"/>
        <w:numPr>
          <w:ilvl w:val="0"/>
          <w:numId w:val="6"/>
        </w:numPr>
        <w:autoSpaceDE w:val="0"/>
        <w:autoSpaceDN w:val="0"/>
        <w:ind w:left="426"/>
        <w:jc w:val="both"/>
        <w:rPr>
          <w:rFonts w:ascii="Times New Roman" w:hAnsi="Times New Roman" w:cs="Times New Roman"/>
        </w:rPr>
      </w:pPr>
      <w:proofErr w:type="spellStart"/>
      <w:r w:rsidRPr="003C62BC">
        <w:rPr>
          <w:rFonts w:ascii="Times New Roman" w:hAnsi="Times New Roman" w:cs="Times New Roman"/>
        </w:rPr>
        <w:t>rilevanza</w:t>
      </w:r>
      <w:proofErr w:type="spellEnd"/>
      <w:r w:rsidRPr="003C62BC">
        <w:rPr>
          <w:rFonts w:ascii="Times New Roman" w:hAnsi="Times New Roman" w:cs="Times New Roman"/>
        </w:rPr>
        <w:t xml:space="preserve"> </w:t>
      </w:r>
      <w:proofErr w:type="spellStart"/>
      <w:r w:rsidRPr="003C62BC">
        <w:rPr>
          <w:rFonts w:ascii="Times New Roman" w:hAnsi="Times New Roman" w:cs="Times New Roman"/>
        </w:rPr>
        <w:t>territoriale</w:t>
      </w:r>
      <w:proofErr w:type="spellEnd"/>
      <w:r w:rsidRPr="003C62BC">
        <w:rPr>
          <w:rFonts w:ascii="Times New Roman" w:hAnsi="Times New Roman" w:cs="Times New Roman"/>
        </w:rPr>
        <w:t xml:space="preserve"> </w:t>
      </w:r>
      <w:proofErr w:type="spellStart"/>
      <w:r w:rsidRPr="003C62BC">
        <w:rPr>
          <w:rFonts w:ascii="Times New Roman" w:hAnsi="Times New Roman" w:cs="Times New Roman"/>
        </w:rPr>
        <w:t>dell'attività</w:t>
      </w:r>
      <w:proofErr w:type="spellEnd"/>
      <w:r w:rsidRPr="003C62BC">
        <w:rPr>
          <w:rFonts w:ascii="Times New Roman" w:hAnsi="Times New Roman" w:cs="Times New Roman"/>
        </w:rPr>
        <w:t>;</w:t>
      </w:r>
    </w:p>
    <w:p w:rsidR="00A90D83" w:rsidRPr="003C62BC" w:rsidRDefault="00A90D83" w:rsidP="00A90D83">
      <w:pPr>
        <w:widowControl w:val="0"/>
        <w:numPr>
          <w:ilvl w:val="0"/>
          <w:numId w:val="6"/>
        </w:numPr>
        <w:autoSpaceDE w:val="0"/>
        <w:autoSpaceDN w:val="0"/>
        <w:ind w:left="426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grado di prevalenza dell'autofinanziamento rispetto alle risorse di provenienza pubblica;</w:t>
      </w:r>
    </w:p>
    <w:p w:rsidR="00A90D83" w:rsidRPr="003C62BC" w:rsidRDefault="00A90D83" w:rsidP="00A90D83">
      <w:pPr>
        <w:widowControl w:val="0"/>
        <w:numPr>
          <w:ilvl w:val="0"/>
          <w:numId w:val="6"/>
        </w:numPr>
        <w:autoSpaceDE w:val="0"/>
        <w:autoSpaceDN w:val="0"/>
        <w:ind w:left="426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attività svolte in favore dell'Ente.</w:t>
      </w:r>
    </w:p>
    <w:p w:rsidR="00A90D83" w:rsidRPr="003C62BC" w:rsidRDefault="00A90D83" w:rsidP="00A90D83">
      <w:pPr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b) per attività specifiche e singole iniziative</w:t>
      </w:r>
    </w:p>
    <w:p w:rsidR="00A90D83" w:rsidRPr="003C62BC" w:rsidRDefault="00A90D83" w:rsidP="00A90D83">
      <w:pPr>
        <w:ind w:left="432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b</w:t>
      </w:r>
      <w:proofErr w:type="spellStart"/>
      <w:r w:rsidRPr="003C62BC">
        <w:rPr>
          <w:rFonts w:ascii="Times New Roman" w:hAnsi="Times New Roman" w:cs="Times New Roman"/>
          <w:lang w:val="it-IT"/>
        </w:rPr>
        <w:t>.</w:t>
      </w:r>
      <w:proofErr w:type="spellEnd"/>
      <w:r w:rsidRPr="003C62BC">
        <w:rPr>
          <w:rFonts w:ascii="Times New Roman" w:hAnsi="Times New Roman" w:cs="Times New Roman"/>
          <w:lang w:val="it-IT"/>
        </w:rPr>
        <w:t>1 rilevanza e significatività delle specifiche attività ed iniziative in relazione alla loro utilità sociale e all'ampiezza e qualità degli interessi diffusi coinvolti nel campo sociale, civile, solidaristico umanitario, culturale, ambientalistico e naturalistico, sportivo, turistico e ricreativo;</w:t>
      </w:r>
    </w:p>
    <w:p w:rsidR="00A90D83" w:rsidRPr="003C62BC" w:rsidRDefault="00A90D83" w:rsidP="00A90D83">
      <w:pPr>
        <w:ind w:left="432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b</w:t>
      </w:r>
      <w:proofErr w:type="spellStart"/>
      <w:r w:rsidRPr="003C62BC">
        <w:rPr>
          <w:rFonts w:ascii="Times New Roman" w:hAnsi="Times New Roman" w:cs="Times New Roman"/>
          <w:lang w:val="it-IT"/>
        </w:rPr>
        <w:t>.</w:t>
      </w:r>
      <w:proofErr w:type="spellEnd"/>
      <w:r w:rsidRPr="003C62BC">
        <w:rPr>
          <w:rFonts w:ascii="Times New Roman" w:hAnsi="Times New Roman" w:cs="Times New Roman"/>
          <w:lang w:val="it-IT"/>
        </w:rPr>
        <w:t>2 conformità con i programmi e gli obiettivi generali e settoriali dell'Amministrazione;</w:t>
      </w:r>
    </w:p>
    <w:p w:rsidR="00A90D83" w:rsidRPr="003C62BC" w:rsidRDefault="00A90D83" w:rsidP="00A90D83">
      <w:pPr>
        <w:ind w:left="432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b</w:t>
      </w:r>
      <w:proofErr w:type="spellStart"/>
      <w:r w:rsidRPr="003C62BC">
        <w:rPr>
          <w:rFonts w:ascii="Times New Roman" w:hAnsi="Times New Roman" w:cs="Times New Roman"/>
          <w:lang w:val="it-IT"/>
        </w:rPr>
        <w:t>.</w:t>
      </w:r>
      <w:proofErr w:type="spellEnd"/>
      <w:r w:rsidRPr="003C62BC">
        <w:rPr>
          <w:rFonts w:ascii="Times New Roman" w:hAnsi="Times New Roman" w:cs="Times New Roman"/>
          <w:lang w:val="it-IT"/>
        </w:rPr>
        <w:t>3 valenza e ripercussione territoriale;</w:t>
      </w:r>
    </w:p>
    <w:p w:rsidR="00A90D83" w:rsidRPr="003C62BC" w:rsidRDefault="00A90D83" w:rsidP="00A90D83">
      <w:pPr>
        <w:pStyle w:val="Style1"/>
        <w:adjustRightInd/>
        <w:ind w:left="432" w:right="72"/>
        <w:jc w:val="both"/>
      </w:pPr>
      <w:r w:rsidRPr="003C62BC">
        <w:t>b</w:t>
      </w:r>
      <w:proofErr w:type="spellStart"/>
      <w:r w:rsidRPr="003C62BC">
        <w:t>.</w:t>
      </w:r>
      <w:proofErr w:type="spellEnd"/>
      <w:r w:rsidRPr="003C62BC">
        <w:t>4 entità dell'autofinanziamento acquisito attraverso l'organizzazione a pagamento delle iniziative e delle attività;</w:t>
      </w:r>
    </w:p>
    <w:p w:rsidR="00A90D83" w:rsidRPr="003C62BC" w:rsidRDefault="00A90D83" w:rsidP="00A90D83">
      <w:pPr>
        <w:pStyle w:val="Style1"/>
        <w:adjustRightInd/>
        <w:ind w:left="432" w:right="72"/>
        <w:jc w:val="both"/>
      </w:pPr>
      <w:r w:rsidRPr="003C62BC">
        <w:t>b</w:t>
      </w:r>
      <w:proofErr w:type="spellStart"/>
      <w:r w:rsidRPr="003C62BC">
        <w:t>.</w:t>
      </w:r>
      <w:proofErr w:type="spellEnd"/>
      <w:r w:rsidRPr="003C62BC">
        <w:t>5 entità di altri finanziamenti di provenienza pubblica.</w:t>
      </w:r>
    </w:p>
    <w:p w:rsidR="00A90D83" w:rsidRPr="00A90D83" w:rsidRDefault="00A90D83" w:rsidP="00A90D83">
      <w:pPr>
        <w:widowControl w:val="0"/>
        <w:numPr>
          <w:ilvl w:val="0"/>
          <w:numId w:val="7"/>
        </w:numPr>
        <w:autoSpaceDE w:val="0"/>
        <w:autoSpaceDN w:val="0"/>
        <w:ind w:right="72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La partecipazione dell'Ente in qualità di promotore o di associato al soggetto richiedente costituisce condizione di particolare rilievo e di preferenza nella concessione delle provvidenze.</w:t>
      </w:r>
    </w:p>
    <w:p w:rsidR="00A90D83" w:rsidRDefault="00A90D83" w:rsidP="00A90D83">
      <w:pPr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Per lo stesso soggetto e per il medesimo anno le provvidenze a favore della attività annuali e specifiche e quelle di sostegno di singole iniziative sono, tra loro alternative.</w:t>
      </w:r>
    </w:p>
    <w:p w:rsidR="00A90D83" w:rsidRDefault="00A90D83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:rsidR="00ED7EFD" w:rsidRDefault="00ED7EFD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:rsidR="00ED7EFD" w:rsidRDefault="00ED7EFD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:rsidR="00A90D83" w:rsidRDefault="00A90D83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lastRenderedPageBreak/>
        <w:t>Art</w:t>
      </w:r>
      <w:r w:rsidRPr="003C62BC">
        <w:rPr>
          <w:rFonts w:ascii="Times New Roman" w:hAnsi="Times New Roman" w:cs="Times New Roman"/>
          <w:b/>
          <w:bCs/>
          <w:lang w:val="it-IT"/>
        </w:rPr>
        <w:t>. 7</w:t>
      </w:r>
    </w:p>
    <w:p w:rsidR="00A90D83" w:rsidRPr="003C62BC" w:rsidRDefault="00A90D83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3C62BC">
        <w:rPr>
          <w:rFonts w:ascii="Times New Roman" w:hAnsi="Times New Roman" w:cs="Times New Roman"/>
          <w:b/>
          <w:bCs/>
          <w:lang w:val="it-IT"/>
        </w:rPr>
        <w:t>Modalità di erogazione</w:t>
      </w:r>
    </w:p>
    <w:p w:rsidR="00A90D83" w:rsidRPr="003C62BC" w:rsidRDefault="00A90D83" w:rsidP="00A90D83">
      <w:pPr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1. L'erogazione delle provvidenze comunque assegnate è disposta nel seguente modo:</w:t>
      </w:r>
    </w:p>
    <w:p w:rsidR="00A90D83" w:rsidRPr="003C62BC" w:rsidRDefault="00A90D83" w:rsidP="00A90D83">
      <w:pPr>
        <w:pStyle w:val="Style1"/>
        <w:numPr>
          <w:ilvl w:val="0"/>
          <w:numId w:val="8"/>
        </w:numPr>
        <w:tabs>
          <w:tab w:val="clear" w:pos="864"/>
          <w:tab w:val="num" w:pos="318"/>
        </w:tabs>
        <w:adjustRightInd/>
        <w:ind w:left="34"/>
      </w:pPr>
      <w:r w:rsidRPr="003C62BC">
        <w:t>contributi ordinari:</w:t>
      </w:r>
    </w:p>
    <w:p w:rsidR="00A90D83" w:rsidRPr="003C62BC" w:rsidRDefault="00A90D83" w:rsidP="00A90D83">
      <w:pPr>
        <w:pStyle w:val="Style1"/>
        <w:tabs>
          <w:tab w:val="num" w:pos="318"/>
        </w:tabs>
        <w:adjustRightInd/>
        <w:ind w:left="34"/>
      </w:pPr>
      <w:proofErr w:type="spellStart"/>
      <w:r w:rsidRPr="003C62BC">
        <w:t>a.l</w:t>
      </w:r>
      <w:proofErr w:type="spellEnd"/>
      <w:r w:rsidRPr="003C62BC">
        <w:t xml:space="preserve"> </w:t>
      </w:r>
      <w:r w:rsidR="00ED7EFD">
        <w:t xml:space="preserve"> il </w:t>
      </w:r>
      <w:r w:rsidRPr="003C62BC">
        <w:t>50% alla esecutività della deliberazione di concessione;</w:t>
      </w:r>
    </w:p>
    <w:p w:rsidR="00A90D83" w:rsidRDefault="00A90D83" w:rsidP="00A90D83">
      <w:pPr>
        <w:tabs>
          <w:tab w:val="num" w:pos="318"/>
        </w:tabs>
        <w:ind w:left="34" w:right="72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a.2 il saldo a presentazione di relazione consuntiva accompagnata dal rendiconto della destinazione del contributo concesso; copia del bilancio preventivo e consuntivo e documentazione giustificativa delle spese;</w:t>
      </w:r>
    </w:p>
    <w:p w:rsidR="00A90D83" w:rsidRPr="003C62BC" w:rsidRDefault="00A90D83" w:rsidP="00A90D83">
      <w:pPr>
        <w:tabs>
          <w:tab w:val="num" w:pos="318"/>
        </w:tabs>
        <w:ind w:left="34" w:right="72"/>
        <w:jc w:val="both"/>
        <w:rPr>
          <w:rFonts w:ascii="Times New Roman" w:hAnsi="Times New Roman" w:cs="Times New Roman"/>
          <w:lang w:val="it-IT"/>
        </w:rPr>
      </w:pPr>
    </w:p>
    <w:p w:rsidR="00A90D83" w:rsidRPr="003C62BC" w:rsidRDefault="00A90D83" w:rsidP="00A90D83">
      <w:pPr>
        <w:pStyle w:val="Style1"/>
        <w:numPr>
          <w:ilvl w:val="0"/>
          <w:numId w:val="8"/>
        </w:numPr>
        <w:tabs>
          <w:tab w:val="clear" w:pos="864"/>
          <w:tab w:val="num" w:pos="318"/>
        </w:tabs>
        <w:adjustRightInd/>
        <w:ind w:left="34"/>
        <w:jc w:val="both"/>
      </w:pPr>
      <w:r w:rsidRPr="003C62BC">
        <w:t>contributi per attività specifiche e/o iniziative:</w:t>
      </w:r>
    </w:p>
    <w:p w:rsidR="00A90D83" w:rsidRPr="003C62BC" w:rsidRDefault="00A90D83" w:rsidP="00A90D83">
      <w:pPr>
        <w:tabs>
          <w:tab w:val="num" w:pos="318"/>
        </w:tabs>
        <w:ind w:left="34" w:right="-30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 xml:space="preserve">a presentazione di relazione consuntiva sull' attività, sui risultati conseguiti e documentazione giustificativa delle spese e conto consuntivo. Comunque non possono essere erogati contributi </w:t>
      </w:r>
      <w:r w:rsidRPr="003C62BC">
        <w:rPr>
          <w:rFonts w:ascii="Times New Roman" w:hAnsi="Times New Roman" w:cs="Times New Roman"/>
          <w:spacing w:val="-2"/>
          <w:lang w:val="it-IT"/>
        </w:rPr>
        <w:t>qualora dalla documentazione risulti che il beneficiario abbia chiuso il conto consuntivo con un</w:t>
      </w:r>
      <w:r w:rsidRPr="003C62BC">
        <w:rPr>
          <w:rFonts w:ascii="Times New Roman" w:hAnsi="Times New Roman" w:cs="Times New Roman"/>
          <w:lang w:val="it-IT"/>
        </w:rPr>
        <w:t xml:space="preserve"> attivo di gestione;</w:t>
      </w:r>
    </w:p>
    <w:p w:rsidR="00A90D83" w:rsidRDefault="00A90D83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232CBE">
        <w:rPr>
          <w:rFonts w:ascii="Times New Roman" w:hAnsi="Times New Roman" w:cs="Times New Roman"/>
          <w:b/>
          <w:spacing w:val="6"/>
          <w:lang w:val="it-IT"/>
        </w:rPr>
        <w:t>Art.</w:t>
      </w:r>
      <w:r w:rsidRPr="003C62BC">
        <w:rPr>
          <w:rFonts w:ascii="Times New Roman" w:hAnsi="Times New Roman" w:cs="Times New Roman"/>
          <w:spacing w:val="6"/>
          <w:lang w:val="it-IT"/>
        </w:rPr>
        <w:t xml:space="preserve"> </w:t>
      </w:r>
      <w:r w:rsidRPr="003C62BC">
        <w:rPr>
          <w:rFonts w:ascii="Times New Roman" w:hAnsi="Times New Roman" w:cs="Times New Roman"/>
          <w:b/>
          <w:bCs/>
          <w:lang w:val="it-IT"/>
        </w:rPr>
        <w:t>8</w:t>
      </w:r>
    </w:p>
    <w:p w:rsidR="00A90D83" w:rsidRPr="003C62BC" w:rsidRDefault="00A90D83" w:rsidP="00A90D83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3C62BC">
        <w:rPr>
          <w:rFonts w:ascii="Times New Roman" w:hAnsi="Times New Roman" w:cs="Times New Roman"/>
          <w:b/>
          <w:bCs/>
          <w:lang w:val="it-IT"/>
        </w:rPr>
        <w:t>Verifica dello stato di attuazione</w:t>
      </w:r>
    </w:p>
    <w:p w:rsidR="00A90D83" w:rsidRPr="003C62BC" w:rsidRDefault="00A90D83" w:rsidP="00A90D83">
      <w:pPr>
        <w:widowControl w:val="0"/>
        <w:numPr>
          <w:ilvl w:val="0"/>
          <w:numId w:val="9"/>
        </w:numPr>
        <w:autoSpaceDE w:val="0"/>
        <w:autoSpaceDN w:val="0"/>
        <w:ind w:left="1080" w:right="72" w:hanging="360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L'Ente verifica lo stato di attuazione delle attività e delle iniziative svolte con l'apporto delle provvidenze concesse. I controlli sono effettuati, nel rispetto dell'autonomia dei singoli beneficiari, tramite il personale dipendente dei servizi competenti per materia autorizzate all'uopo, compreso il Revisore dei Conti dell'Ente;</w:t>
      </w:r>
    </w:p>
    <w:p w:rsidR="00A90D83" w:rsidRDefault="00A90D83" w:rsidP="00A90D83">
      <w:pPr>
        <w:widowControl w:val="0"/>
        <w:numPr>
          <w:ilvl w:val="0"/>
          <w:numId w:val="9"/>
        </w:numPr>
        <w:autoSpaceDE w:val="0"/>
        <w:autoSpaceDN w:val="0"/>
        <w:ind w:left="1080" w:hanging="360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 xml:space="preserve">Ove le verifiche abbiano ad evidenziare manchevolezze, irregolarità o ritardi gravemente pregiudizievoli del buon'' esito dell'attività e delle iniziative o una utilizzazione delle provvidenze difforme dalla destinazione prestabilita, la Giunta sospende l'intervento. In caso di persistenza o di </w:t>
      </w:r>
      <w:proofErr w:type="spellStart"/>
      <w:r w:rsidRPr="003C62BC">
        <w:rPr>
          <w:rFonts w:ascii="Times New Roman" w:hAnsi="Times New Roman" w:cs="Times New Roman"/>
          <w:lang w:val="it-IT"/>
        </w:rPr>
        <w:t>immodificabilità</w:t>
      </w:r>
      <w:proofErr w:type="spellEnd"/>
      <w:r w:rsidRPr="003C62BC">
        <w:rPr>
          <w:rFonts w:ascii="Times New Roman" w:hAnsi="Times New Roman" w:cs="Times New Roman"/>
          <w:lang w:val="it-IT"/>
        </w:rPr>
        <w:t xml:space="preserve"> della situazione irregolare è disposta dalla Giunta la revoca del provvedimento fatte salve eventuali azioni di recupero.</w:t>
      </w:r>
    </w:p>
    <w:p w:rsidR="00A90D83" w:rsidRPr="00A90D83" w:rsidRDefault="00A90D83" w:rsidP="00A90D83">
      <w:pPr>
        <w:widowControl w:val="0"/>
        <w:numPr>
          <w:ilvl w:val="0"/>
          <w:numId w:val="9"/>
        </w:numPr>
        <w:autoSpaceDE w:val="0"/>
        <w:autoSpaceDN w:val="0"/>
        <w:ind w:left="1080" w:hanging="360"/>
        <w:jc w:val="both"/>
        <w:rPr>
          <w:rFonts w:ascii="Times New Roman" w:hAnsi="Times New Roman" w:cs="Times New Roman"/>
          <w:lang w:val="it-IT"/>
        </w:rPr>
      </w:pPr>
      <w:r w:rsidRPr="00A90D83">
        <w:rPr>
          <w:rFonts w:ascii="Times New Roman" w:hAnsi="Times New Roman" w:cs="Times New Roman"/>
          <w:spacing w:val="-2"/>
          <w:lang w:val="it-IT"/>
        </w:rPr>
        <w:t>La situazione di inadempimento riscontrata, ove non derivi da cause oggettive, costituisce precedente</w:t>
      </w:r>
      <w:r w:rsidRPr="00A90D83">
        <w:rPr>
          <w:rFonts w:ascii="Times New Roman" w:hAnsi="Times New Roman" w:cs="Times New Roman"/>
          <w:lang w:val="it-IT"/>
        </w:rPr>
        <w:t xml:space="preserve"> ostativo alla fruizione di ulteriori provvidenze per il successivo biennio.</w:t>
      </w:r>
    </w:p>
    <w:p w:rsidR="00A90D83" w:rsidRPr="00A90D83" w:rsidRDefault="00A90D83" w:rsidP="00A90D83">
      <w:pPr>
        <w:jc w:val="both"/>
        <w:rPr>
          <w:lang w:val="it-IT"/>
        </w:rPr>
      </w:pP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 9</w:t>
      </w:r>
    </w:p>
    <w:p w:rsidR="00A90D83" w:rsidRPr="003C62BC" w:rsidRDefault="00A90D83" w:rsidP="00A90D83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Condizioni generali di concessione</w:t>
      </w:r>
    </w:p>
    <w:p w:rsidR="00A90D83" w:rsidRPr="003C62BC" w:rsidRDefault="00A90D83" w:rsidP="00A90D83">
      <w:pPr>
        <w:pStyle w:val="Style1"/>
        <w:numPr>
          <w:ilvl w:val="0"/>
          <w:numId w:val="10"/>
        </w:numPr>
        <w:adjustRightInd/>
        <w:jc w:val="both"/>
      </w:pPr>
      <w:r w:rsidRPr="003C62BC">
        <w:t xml:space="preserve">L'Ente, in ogni caso, </w:t>
      </w:r>
      <w:r w:rsidRPr="00945274">
        <w:t xml:space="preserve">resta </w:t>
      </w:r>
      <w:r w:rsidRPr="003C62BC">
        <w:t>estraneo nei confronti di qualsiasi rapporto od obbligazione che si costituisce fra i beneficiari delle provvidenze e soggetti terzi.</w:t>
      </w:r>
    </w:p>
    <w:p w:rsidR="00A90D83" w:rsidRPr="003C62BC" w:rsidRDefault="00A90D83" w:rsidP="00A90D83">
      <w:pPr>
        <w:pStyle w:val="Style1"/>
        <w:numPr>
          <w:ilvl w:val="0"/>
          <w:numId w:val="10"/>
        </w:numPr>
        <w:adjustRightInd/>
        <w:jc w:val="both"/>
      </w:pPr>
      <w:r w:rsidRPr="003C62BC">
        <w:t xml:space="preserve">L'Unione non assume, sotto nessun aspetto, responsabilità alcuna in merito all'organizzazione ed </w:t>
      </w:r>
      <w:r w:rsidRPr="003C62BC">
        <w:rPr>
          <w:spacing w:val="-2"/>
        </w:rPr>
        <w:t>allo svolgimento di manifestazioni, iniziative e progetti ai quali ha accordato provvidenze ed altresì non</w:t>
      </w:r>
      <w:r w:rsidRPr="003C62BC">
        <w:t xml:space="preserve"> assume responsabilità relative alla gestione degli enti privati ed associazioni che ricevono contributi annuali.</w:t>
      </w:r>
    </w:p>
    <w:p w:rsidR="00A90D83" w:rsidRDefault="00A90D83" w:rsidP="00A90D83">
      <w:pPr>
        <w:pStyle w:val="Style1"/>
        <w:numPr>
          <w:ilvl w:val="0"/>
          <w:numId w:val="10"/>
        </w:numPr>
        <w:adjustRightInd/>
        <w:jc w:val="both"/>
      </w:pPr>
      <w:r w:rsidRPr="003C62BC">
        <w:t>I soggetti assegnatari delle provvidenze sono tenuti a far risultare dagli atti attraverso i quali realizzano o manifestano esteriormente mediante pubblico annuncio tali attività e/o iniziative, che esse si realizzano con il concorso dell'Unione. La mancata evidenziazione dell'intervento dell'Unione comporta la revoca del contributo.</w:t>
      </w:r>
    </w:p>
    <w:p w:rsidR="00A90D83" w:rsidRPr="003C62BC" w:rsidRDefault="00A90D83" w:rsidP="00A90D83">
      <w:pPr>
        <w:pStyle w:val="Style1"/>
        <w:adjustRightInd/>
        <w:jc w:val="both"/>
      </w:pP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 10</w:t>
      </w:r>
    </w:p>
    <w:p w:rsidR="00A90D83" w:rsidRPr="003C62BC" w:rsidRDefault="00A90D83" w:rsidP="00A90D83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 xml:space="preserve"> Decadenza</w:t>
      </w:r>
    </w:p>
    <w:p w:rsidR="00A90D83" w:rsidRPr="003C62BC" w:rsidRDefault="00A90D83" w:rsidP="00A90D83">
      <w:pPr>
        <w:pStyle w:val="Style1"/>
        <w:adjustRightInd/>
        <w:jc w:val="both"/>
      </w:pPr>
      <w:r w:rsidRPr="003C62BC">
        <w:t>1. I soggetti assegnatari delle provvidenze, di cui al presente regolamento, decadono dal diritto di ottenerle ove si verifichi una delle seguenti condizioni:</w:t>
      </w:r>
    </w:p>
    <w:p w:rsidR="00A90D83" w:rsidRPr="003C62BC" w:rsidRDefault="00A90D83" w:rsidP="00A90D83">
      <w:pPr>
        <w:pStyle w:val="Style1"/>
        <w:numPr>
          <w:ilvl w:val="0"/>
          <w:numId w:val="11"/>
        </w:numPr>
        <w:adjustRightInd/>
        <w:jc w:val="both"/>
      </w:pPr>
      <w:r w:rsidRPr="003C62BC">
        <w:t>non sia stata realizzata o svolta l'attività per la quale la provvidenza era stata assegnata;</w:t>
      </w:r>
    </w:p>
    <w:p w:rsidR="00A90D83" w:rsidRPr="003C62BC" w:rsidRDefault="00A90D83" w:rsidP="00A90D83">
      <w:pPr>
        <w:pStyle w:val="Style1"/>
        <w:numPr>
          <w:ilvl w:val="0"/>
          <w:numId w:val="11"/>
        </w:numPr>
        <w:adjustRightInd/>
        <w:jc w:val="both"/>
      </w:pPr>
      <w:r w:rsidRPr="003C62BC">
        <w:t>non venga presentata documentazione prescritta ali' art. 9 entro dodici mesi dall' assegnazione;</w:t>
      </w:r>
    </w:p>
    <w:p w:rsidR="00A90D83" w:rsidRPr="003C62BC" w:rsidRDefault="00A90D83" w:rsidP="00A90D83">
      <w:pPr>
        <w:pStyle w:val="Style1"/>
        <w:numPr>
          <w:ilvl w:val="0"/>
          <w:numId w:val="11"/>
        </w:numPr>
        <w:adjustRightInd/>
        <w:jc w:val="both"/>
      </w:pPr>
      <w:r w:rsidRPr="003C62BC">
        <w:t>siano intervenute modifiche del programma tali da alterare sostanzialmente l'iniziativa proposta;</w:t>
      </w:r>
    </w:p>
    <w:p w:rsidR="00A90D83" w:rsidRPr="003C62BC" w:rsidRDefault="00A90D83" w:rsidP="00A90D83">
      <w:pPr>
        <w:pStyle w:val="Style1"/>
        <w:numPr>
          <w:ilvl w:val="0"/>
          <w:numId w:val="11"/>
        </w:numPr>
        <w:adjustRightInd/>
        <w:jc w:val="both"/>
      </w:pPr>
      <w:r w:rsidRPr="003C62BC">
        <w:t xml:space="preserve">non venga evidenziato negli atti e nelle manifestazioni esteriori il concorso dell'Unione nel </w:t>
      </w:r>
      <w:r w:rsidRPr="003C62BC">
        <w:lastRenderedPageBreak/>
        <w:t>finanziamento dell'attività o dell'iniziativa.</w:t>
      </w:r>
    </w:p>
    <w:p w:rsidR="00A90D83" w:rsidRDefault="00A90D83" w:rsidP="00A90D83">
      <w:pPr>
        <w:pStyle w:val="Style1"/>
        <w:numPr>
          <w:ilvl w:val="0"/>
          <w:numId w:val="4"/>
        </w:numPr>
        <w:adjustRightInd/>
        <w:jc w:val="both"/>
      </w:pPr>
      <w:r w:rsidRPr="003C62BC">
        <w:t>L'accertamento delle realizzazioni in forma parziale comporta la rideterminazione dell'assegnazione.</w:t>
      </w:r>
    </w:p>
    <w:p w:rsidR="00A90D83" w:rsidRPr="00A90D83" w:rsidRDefault="00A90D83" w:rsidP="00A90D83">
      <w:pPr>
        <w:pStyle w:val="Style1"/>
        <w:numPr>
          <w:ilvl w:val="0"/>
          <w:numId w:val="4"/>
        </w:numPr>
        <w:adjustRightInd/>
        <w:jc w:val="both"/>
      </w:pPr>
      <w:r w:rsidRPr="00A90D83">
        <w:t>Al recupero della somme erogate si provvede nelle forme di legge.</w:t>
      </w: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</w:p>
    <w:p w:rsidR="00A90D83" w:rsidRDefault="00A90D83" w:rsidP="00A90D83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 11</w:t>
      </w:r>
    </w:p>
    <w:p w:rsidR="00A90D83" w:rsidRPr="003C62BC" w:rsidRDefault="00A90D83" w:rsidP="00A90D83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Albo dei beneficiari di provvidenze</w:t>
      </w:r>
    </w:p>
    <w:p w:rsidR="00A90D83" w:rsidRPr="003C62BC" w:rsidRDefault="00A90D83" w:rsidP="00A90D83">
      <w:pPr>
        <w:pStyle w:val="Style1"/>
        <w:numPr>
          <w:ilvl w:val="0"/>
          <w:numId w:val="12"/>
        </w:numPr>
        <w:adjustRightInd/>
        <w:jc w:val="both"/>
      </w:pPr>
      <w:r w:rsidRPr="003C62BC">
        <w:t xml:space="preserve">Ai fini della pubblicizzazione delle provvidenze di natura economica erogate nel corso dell'anno è istituito ai sensi dell'art. 22 della Legge 30.12.1991 n. 412 </w:t>
      </w:r>
      <w:proofErr w:type="spellStart"/>
      <w:r w:rsidRPr="003C62BC">
        <w:t>s.m.i.</w:t>
      </w:r>
      <w:proofErr w:type="spellEnd"/>
      <w:r w:rsidRPr="003C62BC">
        <w:rPr>
          <w:b/>
        </w:rPr>
        <w:t xml:space="preserve"> l'Albo dei soggetti, pubblici e privati</w:t>
      </w:r>
      <w:r w:rsidRPr="003C62BC">
        <w:t>, a cui siano stati erogati in ogni esercizio finanziario contributi, sovvenzioni, crediti, sussidi e benefici economici a carico del Bilancio dell'Unione.</w:t>
      </w:r>
    </w:p>
    <w:p w:rsidR="00A90D83" w:rsidRPr="003C62BC" w:rsidRDefault="00A90D83" w:rsidP="00A90D83">
      <w:pPr>
        <w:pStyle w:val="Style1"/>
        <w:numPr>
          <w:ilvl w:val="0"/>
          <w:numId w:val="12"/>
        </w:numPr>
        <w:adjustRightInd/>
        <w:jc w:val="both"/>
      </w:pPr>
      <w:r w:rsidRPr="003C62BC">
        <w:t>L'Albo è aggiornato con appositi elenchi annuali, entro il 31 marzo, con l'inclusione dei soggetti ai quali sono stati attribuiti benefici nel precedente esercizio.</w:t>
      </w:r>
    </w:p>
    <w:p w:rsidR="00A90D83" w:rsidRPr="003C62BC" w:rsidRDefault="00A90D83" w:rsidP="00A90D83">
      <w:pPr>
        <w:pStyle w:val="Style1"/>
        <w:numPr>
          <w:ilvl w:val="0"/>
          <w:numId w:val="12"/>
        </w:numPr>
        <w:adjustRightInd/>
        <w:jc w:val="both"/>
      </w:pPr>
      <w:r w:rsidRPr="003C62BC">
        <w:t>Il Settore Bilancio e Programmazione finanziaria cura la tenuta dell'albo e degli elenchi annuali dei beneficiari di provvidenze di natura finanziaria e/o economica e provvede ai correlati obblighi ed adempimenti prescritti</w:t>
      </w:r>
    </w:p>
    <w:p w:rsidR="00A90D83" w:rsidRDefault="00A90D83" w:rsidP="00A90D83">
      <w:pPr>
        <w:ind w:left="720"/>
        <w:jc w:val="both"/>
        <w:rPr>
          <w:rFonts w:ascii="Times New Roman" w:hAnsi="Times New Roman" w:cs="Times New Roman"/>
          <w:lang w:val="it-IT"/>
        </w:rPr>
      </w:pPr>
      <w:r w:rsidRPr="003C62BC">
        <w:rPr>
          <w:rFonts w:ascii="Times New Roman" w:hAnsi="Times New Roman" w:cs="Times New Roman"/>
          <w:lang w:val="it-IT"/>
        </w:rPr>
        <w:t>L'Albo è pubblicizzato presso la cittadinanza nelle forme più idonee e può essere consultato da ogni cittadino presso l'ufficio ragioneria</w:t>
      </w:r>
      <w:r>
        <w:rPr>
          <w:rFonts w:ascii="Times New Roman" w:hAnsi="Times New Roman" w:cs="Times New Roman"/>
          <w:lang w:val="it-IT"/>
        </w:rPr>
        <w:t>.</w:t>
      </w:r>
    </w:p>
    <w:p w:rsidR="00A90D83" w:rsidRDefault="00A90D83" w:rsidP="00A90D83">
      <w:pPr>
        <w:ind w:left="720"/>
        <w:jc w:val="both"/>
        <w:rPr>
          <w:rFonts w:ascii="Times New Roman" w:hAnsi="Times New Roman" w:cs="Times New Roman"/>
          <w:lang w:val="it-IT"/>
        </w:rPr>
      </w:pPr>
    </w:p>
    <w:p w:rsidR="00A90D83" w:rsidRPr="00777237" w:rsidRDefault="00A90D83" w:rsidP="00A90D83">
      <w:pPr>
        <w:jc w:val="center"/>
        <w:rPr>
          <w:rFonts w:ascii="Times New Roman" w:hAnsi="Times New Roman" w:cs="Times New Roman"/>
          <w:b/>
          <w:lang w:val="it-IT"/>
        </w:rPr>
      </w:pPr>
      <w:r w:rsidRPr="00777237">
        <w:rPr>
          <w:rFonts w:ascii="Times New Roman" w:hAnsi="Times New Roman" w:cs="Times New Roman"/>
          <w:b/>
          <w:lang w:val="it-IT"/>
        </w:rPr>
        <w:t>TITOLO II</w:t>
      </w:r>
    </w:p>
    <w:p w:rsidR="00A90D83" w:rsidRPr="00777237" w:rsidRDefault="00A90D83" w:rsidP="00A90D83">
      <w:pPr>
        <w:jc w:val="center"/>
        <w:rPr>
          <w:rFonts w:ascii="Times New Roman" w:hAnsi="Times New Roman" w:cs="Times New Roman"/>
          <w:b/>
          <w:lang w:val="it-IT"/>
        </w:rPr>
      </w:pPr>
      <w:r w:rsidRPr="00777237">
        <w:rPr>
          <w:rFonts w:ascii="Times New Roman" w:hAnsi="Times New Roman" w:cs="Times New Roman"/>
          <w:b/>
          <w:lang w:val="it-IT"/>
        </w:rPr>
        <w:t xml:space="preserve">PATROCINIO </w:t>
      </w:r>
      <w:r w:rsidRPr="00777237">
        <w:rPr>
          <w:rFonts w:ascii="Times New Roman" w:hAnsi="Times New Roman" w:cs="Times New Roman"/>
          <w:b/>
          <w:bCs/>
          <w:lang w:val="it-IT"/>
        </w:rPr>
        <w:t xml:space="preserve">GRATUITO </w:t>
      </w:r>
      <w:r w:rsidRPr="00777237">
        <w:rPr>
          <w:rFonts w:ascii="Times New Roman" w:hAnsi="Times New Roman" w:cs="Times New Roman"/>
          <w:b/>
          <w:lang w:val="it-IT"/>
        </w:rPr>
        <w:t xml:space="preserve">ED </w:t>
      </w:r>
      <w:r w:rsidRPr="00777237">
        <w:rPr>
          <w:rFonts w:ascii="Times New Roman" w:hAnsi="Times New Roman" w:cs="Times New Roman"/>
          <w:b/>
          <w:bCs/>
          <w:lang w:val="it-IT"/>
        </w:rPr>
        <w:t xml:space="preserve">USO </w:t>
      </w:r>
      <w:r w:rsidRPr="00777237">
        <w:rPr>
          <w:rFonts w:ascii="Times New Roman" w:hAnsi="Times New Roman" w:cs="Times New Roman"/>
          <w:b/>
          <w:lang w:val="it-IT"/>
        </w:rPr>
        <w:t>DELLO STEMMA</w:t>
      </w:r>
    </w:p>
    <w:p w:rsidR="00A90D83" w:rsidRPr="00777237" w:rsidRDefault="00A90D83" w:rsidP="00A90D83">
      <w:pPr>
        <w:rPr>
          <w:lang w:val="it-IT"/>
        </w:rPr>
      </w:pPr>
    </w:p>
    <w:p w:rsidR="00A90D83" w:rsidRPr="00232CBE" w:rsidRDefault="00A90D83" w:rsidP="00A90D83">
      <w:pPr>
        <w:jc w:val="center"/>
        <w:rPr>
          <w:rFonts w:ascii="Times New Roman" w:hAnsi="Times New Roman" w:cs="Times New Roman"/>
          <w:b/>
          <w:spacing w:val="-4"/>
        </w:rPr>
      </w:pPr>
      <w:r w:rsidRPr="00232CBE">
        <w:rPr>
          <w:rFonts w:ascii="Times New Roman" w:hAnsi="Times New Roman" w:cs="Times New Roman"/>
          <w:b/>
          <w:spacing w:val="12"/>
        </w:rPr>
        <w:t xml:space="preserve">Art. </w:t>
      </w:r>
      <w:r w:rsidRPr="00232CBE">
        <w:rPr>
          <w:rFonts w:ascii="Times New Roman" w:hAnsi="Times New Roman" w:cs="Times New Roman"/>
          <w:b/>
          <w:spacing w:val="-4"/>
        </w:rPr>
        <w:t>12</w:t>
      </w:r>
    </w:p>
    <w:p w:rsidR="00A90D83" w:rsidRPr="003C62BC" w:rsidRDefault="00A90D83" w:rsidP="00A90D83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3C62B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C62BC">
        <w:rPr>
          <w:rFonts w:ascii="Times New Roman" w:hAnsi="Times New Roman" w:cs="Times New Roman"/>
          <w:b/>
          <w:bCs/>
          <w:spacing w:val="-4"/>
        </w:rPr>
        <w:t>Patrocinio</w:t>
      </w:r>
      <w:proofErr w:type="spellEnd"/>
    </w:p>
    <w:p w:rsidR="00A90D83" w:rsidRPr="003C62BC" w:rsidRDefault="00A90D83" w:rsidP="00A90D83">
      <w:pPr>
        <w:widowControl w:val="0"/>
        <w:numPr>
          <w:ilvl w:val="0"/>
          <w:numId w:val="13"/>
        </w:numPr>
        <w:autoSpaceDE w:val="0"/>
        <w:autoSpaceDN w:val="0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Il patrocinio è concesso a:</w:t>
      </w:r>
    </w:p>
    <w:p w:rsidR="00A90D83" w:rsidRPr="003C62BC" w:rsidRDefault="00A90D83" w:rsidP="00A90D83">
      <w:pPr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- Università;</w:t>
      </w:r>
    </w:p>
    <w:p w:rsidR="00A90D83" w:rsidRPr="003C62BC" w:rsidRDefault="00A90D83" w:rsidP="00A90D83">
      <w:pPr>
        <w:spacing w:line="264" w:lineRule="exact"/>
        <w:ind w:right="72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- Associazioni ed Istituzioni che, per notorietà e struttura sociale possedute, danno garanzia e validità delle iniziative;</w:t>
      </w:r>
    </w:p>
    <w:p w:rsidR="00A90D83" w:rsidRPr="003C62BC" w:rsidRDefault="00A90D83" w:rsidP="00A90D83">
      <w:pPr>
        <w:widowControl w:val="0"/>
        <w:numPr>
          <w:ilvl w:val="0"/>
          <w:numId w:val="13"/>
        </w:numPr>
        <w:autoSpaceDE w:val="0"/>
        <w:autoSpaceDN w:val="0"/>
        <w:spacing w:line="264" w:lineRule="exact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Non è ammessa la concessione di patrocinio alle iniziative promosse da Enti, Associazioni, Organizzazioni pubbliche e private per fini di lucro o commerciali nonché a favore di organizzazioni politiche, sindacali o rappresentative di interessi di</w:t>
      </w:r>
      <w:r w:rsidR="00BD50C5">
        <w:rPr>
          <w:rFonts w:ascii="Times New Roman" w:hAnsi="Times New Roman" w:cs="Times New Roman"/>
          <w:spacing w:val="-4"/>
          <w:lang w:val="it-IT"/>
        </w:rPr>
        <w:t xml:space="preserve"> categorie economiche e sociali.</w:t>
      </w:r>
    </w:p>
    <w:p w:rsidR="00A90D83" w:rsidRDefault="00A90D83" w:rsidP="00BD50C5">
      <w:pPr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I soggetti beneficiari sono tenuti a far risultare con appropriata pubblicizzazione che le attività sono realizzate con il patrocinio dell'Unione.</w:t>
      </w:r>
    </w:p>
    <w:p w:rsidR="00BD50C5" w:rsidRDefault="00BD50C5" w:rsidP="00BD50C5">
      <w:pPr>
        <w:jc w:val="both"/>
        <w:rPr>
          <w:rFonts w:ascii="Times New Roman" w:hAnsi="Times New Roman" w:cs="Times New Roman"/>
          <w:spacing w:val="-4"/>
          <w:lang w:val="it-IT"/>
        </w:rPr>
      </w:pPr>
    </w:p>
    <w:p w:rsidR="00BD50C5" w:rsidRPr="00BD50C5" w:rsidRDefault="00BD50C5" w:rsidP="00BD50C5">
      <w:pPr>
        <w:jc w:val="center"/>
        <w:rPr>
          <w:rFonts w:ascii="Times New Roman" w:hAnsi="Times New Roman" w:cs="Times New Roman"/>
          <w:b/>
          <w:bCs/>
          <w:spacing w:val="-4"/>
          <w:lang w:val="it-IT"/>
        </w:rPr>
      </w:pPr>
      <w:r w:rsidRPr="00BD50C5">
        <w:rPr>
          <w:rFonts w:ascii="Times New Roman" w:hAnsi="Times New Roman" w:cs="Times New Roman"/>
          <w:b/>
          <w:spacing w:val="12"/>
          <w:lang w:val="it-IT"/>
        </w:rPr>
        <w:t xml:space="preserve">Art. </w:t>
      </w:r>
      <w:r w:rsidRPr="00BD50C5">
        <w:rPr>
          <w:rFonts w:ascii="Times New Roman" w:hAnsi="Times New Roman" w:cs="Times New Roman"/>
          <w:b/>
          <w:bCs/>
          <w:spacing w:val="-4"/>
          <w:lang w:val="it-IT"/>
        </w:rPr>
        <w:t>13</w:t>
      </w:r>
    </w:p>
    <w:p w:rsidR="00BD50C5" w:rsidRPr="00BD50C5" w:rsidRDefault="00BD50C5" w:rsidP="00BD50C5">
      <w:pPr>
        <w:jc w:val="center"/>
        <w:rPr>
          <w:rFonts w:ascii="Times New Roman" w:hAnsi="Times New Roman" w:cs="Times New Roman"/>
          <w:b/>
          <w:lang w:val="it-IT"/>
        </w:rPr>
      </w:pPr>
      <w:r w:rsidRPr="00BD50C5">
        <w:rPr>
          <w:rFonts w:ascii="Times New Roman" w:hAnsi="Times New Roman" w:cs="Times New Roman"/>
          <w:b/>
          <w:bCs/>
          <w:spacing w:val="-4"/>
          <w:lang w:val="it-IT"/>
        </w:rPr>
        <w:t>Criteri di concessione del patrocinio</w:t>
      </w:r>
    </w:p>
    <w:p w:rsidR="00A90D83" w:rsidRPr="003C62BC" w:rsidRDefault="00A90D83" w:rsidP="00A90D83">
      <w:pPr>
        <w:widowControl w:val="0"/>
        <w:numPr>
          <w:ilvl w:val="0"/>
          <w:numId w:val="14"/>
        </w:numPr>
        <w:autoSpaceDE w:val="0"/>
        <w:autoSpaceDN w:val="0"/>
        <w:spacing w:line="264" w:lineRule="exact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 xml:space="preserve">Il patrocinio può essere concesso soltanto a quelle iniziative e manifestazioni che coinvolgano parte o tutto il territorio </w:t>
      </w:r>
      <w:proofErr w:type="spellStart"/>
      <w:r w:rsidRPr="003C62BC">
        <w:rPr>
          <w:rFonts w:ascii="Times New Roman" w:hAnsi="Times New Roman" w:cs="Times New Roman"/>
          <w:spacing w:val="-4"/>
          <w:lang w:val="it-IT"/>
        </w:rPr>
        <w:t>vibratiano</w:t>
      </w:r>
      <w:proofErr w:type="spellEnd"/>
      <w:r w:rsidRPr="003C62BC">
        <w:rPr>
          <w:rFonts w:ascii="Times New Roman" w:hAnsi="Times New Roman" w:cs="Times New Roman"/>
          <w:spacing w:val="-4"/>
          <w:lang w:val="it-IT"/>
        </w:rPr>
        <w:t xml:space="preserve"> o abbiano una rilevante ricaduta per il territorio e la comunità provinciale e che rappresentino almeno una delle seguenti caratteristiche:</w:t>
      </w:r>
    </w:p>
    <w:p w:rsidR="00A90D83" w:rsidRPr="003C62BC" w:rsidRDefault="00A90D83" w:rsidP="00A90D83">
      <w:pPr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- Siano pertinenti ai settori di attività di competenza dell'Ente;</w:t>
      </w:r>
    </w:p>
    <w:p w:rsidR="00A90D83" w:rsidRPr="003C62BC" w:rsidRDefault="00A90D83" w:rsidP="00A90D83">
      <w:pPr>
        <w:spacing w:line="264" w:lineRule="exact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- Siano corrispondenti alle esigenze di particolare valore sociale, morale, culturale, celebrativo, educativo, sportivo, ambientale ed economico che l'Unione rappresenta.</w:t>
      </w:r>
    </w:p>
    <w:p w:rsidR="00A90D83" w:rsidRPr="003C62BC" w:rsidRDefault="00A90D83" w:rsidP="00A90D83">
      <w:pPr>
        <w:widowControl w:val="0"/>
        <w:numPr>
          <w:ilvl w:val="0"/>
          <w:numId w:val="14"/>
        </w:numPr>
        <w:autoSpaceDE w:val="0"/>
        <w:autoSpaceDN w:val="0"/>
        <w:spacing w:line="264" w:lineRule="exact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Le domande di patrocinio devono essere sottoscritte dal legale rappresentante dell'ente o dal soggetto richiedente e devono illustrare contenuti, fini, tempi e modalità di svolgimento delle iniziative;</w:t>
      </w:r>
    </w:p>
    <w:p w:rsidR="00A90D83" w:rsidRPr="003C62BC" w:rsidRDefault="00A90D83" w:rsidP="00A90D83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I soggetti che beneficiano del patrocinio sono di norma autorizzati all'uso dello stemma;</w:t>
      </w:r>
    </w:p>
    <w:p w:rsidR="00A90D83" w:rsidRPr="003C62BC" w:rsidRDefault="00A90D83" w:rsidP="00A90D83">
      <w:pPr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La concessione di patrocinio non comporta spese a carico del Bilancio dell'Ente.</w:t>
      </w:r>
    </w:p>
    <w:p w:rsidR="00A90D83" w:rsidRPr="003C62BC" w:rsidRDefault="00A90D83" w:rsidP="00A90D83">
      <w:pPr>
        <w:widowControl w:val="0"/>
        <w:numPr>
          <w:ilvl w:val="0"/>
          <w:numId w:val="14"/>
        </w:numPr>
        <w:autoSpaceDE w:val="0"/>
        <w:autoSpaceDN w:val="0"/>
        <w:spacing w:line="264" w:lineRule="exact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Il patrocinio è concesso, in via eccezionale, anche per iniziative che si svolgono al di fuori de</w:t>
      </w:r>
      <w:r>
        <w:rPr>
          <w:rFonts w:ascii="Times New Roman" w:hAnsi="Times New Roman" w:cs="Times New Roman"/>
          <w:spacing w:val="-4"/>
          <w:lang w:val="it-IT"/>
        </w:rPr>
        <w:t xml:space="preserve">l territorio </w:t>
      </w:r>
      <w:proofErr w:type="spellStart"/>
      <w:r>
        <w:rPr>
          <w:rFonts w:ascii="Times New Roman" w:hAnsi="Times New Roman" w:cs="Times New Roman"/>
          <w:spacing w:val="-4"/>
          <w:lang w:val="it-IT"/>
        </w:rPr>
        <w:t>vibr</w:t>
      </w:r>
      <w:r w:rsidRPr="003C62BC">
        <w:rPr>
          <w:rFonts w:ascii="Times New Roman" w:hAnsi="Times New Roman" w:cs="Times New Roman"/>
          <w:spacing w:val="-4"/>
          <w:lang w:val="it-IT"/>
        </w:rPr>
        <w:t>atiano</w:t>
      </w:r>
      <w:proofErr w:type="spellEnd"/>
      <w:r w:rsidRPr="003C62BC">
        <w:rPr>
          <w:rFonts w:ascii="Times New Roman" w:hAnsi="Times New Roman" w:cs="Times New Roman"/>
          <w:spacing w:val="-4"/>
          <w:lang w:val="it-IT"/>
        </w:rPr>
        <w:t>, purché presentino un contenuto strettamente legato all'Unione.</w:t>
      </w:r>
    </w:p>
    <w:p w:rsidR="00A90D83" w:rsidRPr="003C62BC" w:rsidRDefault="00A90D83" w:rsidP="00A90D83">
      <w:pPr>
        <w:pStyle w:val="Style2"/>
        <w:adjustRightInd/>
        <w:rPr>
          <w:spacing w:val="-4"/>
        </w:rPr>
      </w:pPr>
    </w:p>
    <w:p w:rsidR="00ED7EFD" w:rsidRDefault="00ED7EFD" w:rsidP="00A90D83">
      <w:pPr>
        <w:jc w:val="center"/>
        <w:rPr>
          <w:rFonts w:ascii="Times New Roman" w:hAnsi="Times New Roman" w:cs="Times New Roman"/>
          <w:b/>
          <w:bCs/>
          <w:spacing w:val="12"/>
          <w:lang w:val="it-IT"/>
        </w:rPr>
      </w:pPr>
    </w:p>
    <w:p w:rsidR="00ED7EFD" w:rsidRDefault="00ED7EFD" w:rsidP="00A90D83">
      <w:pPr>
        <w:jc w:val="center"/>
        <w:rPr>
          <w:rFonts w:ascii="Times New Roman" w:hAnsi="Times New Roman" w:cs="Times New Roman"/>
          <w:b/>
          <w:bCs/>
          <w:spacing w:val="12"/>
          <w:lang w:val="it-IT"/>
        </w:rPr>
      </w:pPr>
    </w:p>
    <w:p w:rsidR="00ED7EFD" w:rsidRDefault="00ED7EFD" w:rsidP="00A90D83">
      <w:pPr>
        <w:jc w:val="center"/>
        <w:rPr>
          <w:rFonts w:ascii="Times New Roman" w:hAnsi="Times New Roman" w:cs="Times New Roman"/>
          <w:b/>
          <w:bCs/>
          <w:spacing w:val="12"/>
          <w:lang w:val="it-IT"/>
        </w:rPr>
      </w:pPr>
    </w:p>
    <w:p w:rsidR="00A90D83" w:rsidRDefault="00A90D83" w:rsidP="00A90D83">
      <w:pPr>
        <w:jc w:val="center"/>
        <w:rPr>
          <w:rFonts w:ascii="Times New Roman" w:hAnsi="Times New Roman" w:cs="Times New Roman"/>
          <w:b/>
          <w:bCs/>
          <w:spacing w:val="-4"/>
          <w:lang w:val="it-IT"/>
        </w:rPr>
      </w:pPr>
      <w:r>
        <w:rPr>
          <w:rFonts w:ascii="Times New Roman" w:hAnsi="Times New Roman" w:cs="Times New Roman"/>
          <w:b/>
          <w:bCs/>
          <w:spacing w:val="12"/>
          <w:lang w:val="it-IT"/>
        </w:rPr>
        <w:lastRenderedPageBreak/>
        <w:t>Art.</w:t>
      </w:r>
      <w:r w:rsidRPr="003C62BC">
        <w:rPr>
          <w:rFonts w:ascii="Times New Roman" w:hAnsi="Times New Roman" w:cs="Times New Roman"/>
          <w:b/>
          <w:bCs/>
          <w:spacing w:val="12"/>
          <w:lang w:val="it-IT"/>
        </w:rPr>
        <w:t xml:space="preserve"> </w:t>
      </w:r>
      <w:r w:rsidRPr="003C62BC">
        <w:rPr>
          <w:rFonts w:ascii="Times New Roman" w:hAnsi="Times New Roman" w:cs="Times New Roman"/>
          <w:b/>
          <w:bCs/>
          <w:spacing w:val="-4"/>
          <w:lang w:val="it-IT"/>
        </w:rPr>
        <w:t>14</w:t>
      </w:r>
    </w:p>
    <w:p w:rsidR="00A90D83" w:rsidRPr="003C62BC" w:rsidRDefault="00A90D83" w:rsidP="00A90D83">
      <w:pPr>
        <w:jc w:val="center"/>
        <w:rPr>
          <w:rFonts w:ascii="Times New Roman" w:hAnsi="Times New Roman" w:cs="Times New Roman"/>
          <w:b/>
          <w:bCs/>
          <w:spacing w:val="-4"/>
          <w:lang w:val="it-IT"/>
        </w:rPr>
      </w:pPr>
      <w:r w:rsidRPr="003C62BC">
        <w:rPr>
          <w:rFonts w:ascii="Times New Roman" w:hAnsi="Times New Roman" w:cs="Times New Roman"/>
          <w:b/>
          <w:bCs/>
          <w:spacing w:val="-4"/>
          <w:lang w:val="it-IT"/>
        </w:rPr>
        <w:t>Presentazione delle domande di Patrocinio</w:t>
      </w:r>
    </w:p>
    <w:p w:rsidR="00A90D83" w:rsidRPr="00A90D83" w:rsidRDefault="00A90D83" w:rsidP="00BD50C5">
      <w:pPr>
        <w:pStyle w:val="Paragrafoelenco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pacing w:val="-4"/>
          <w:lang w:val="it-IT"/>
        </w:rPr>
      </w:pPr>
      <w:r w:rsidRPr="00A90D83">
        <w:rPr>
          <w:rFonts w:ascii="Times New Roman" w:hAnsi="Times New Roman" w:cs="Times New Roman"/>
          <w:spacing w:val="-4"/>
          <w:lang w:val="it-IT"/>
        </w:rPr>
        <w:t>Le domande di patrocinio devono essere trasmesse al Presidente dell'Unione, di norma, almeno quindici giorni prima delle svolgimento dell'iniziativa</w:t>
      </w:r>
    </w:p>
    <w:p w:rsidR="00BD50C5" w:rsidRPr="00777237" w:rsidRDefault="00BD50C5" w:rsidP="00BD50C5">
      <w:pPr>
        <w:jc w:val="center"/>
        <w:rPr>
          <w:rFonts w:ascii="Times New Roman" w:hAnsi="Times New Roman" w:cs="Times New Roman"/>
          <w:b/>
          <w:spacing w:val="12"/>
          <w:lang w:val="it-IT"/>
        </w:rPr>
      </w:pPr>
    </w:p>
    <w:p w:rsidR="00BD50C5" w:rsidRPr="00232CBE" w:rsidRDefault="00A90D83" w:rsidP="00BD50C5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232CBE">
        <w:rPr>
          <w:rFonts w:ascii="Times New Roman" w:hAnsi="Times New Roman" w:cs="Times New Roman"/>
          <w:b/>
          <w:spacing w:val="12"/>
        </w:rPr>
        <w:t xml:space="preserve">Art. </w:t>
      </w:r>
      <w:r w:rsidRPr="00232CBE">
        <w:rPr>
          <w:rFonts w:ascii="Times New Roman" w:hAnsi="Times New Roman" w:cs="Times New Roman"/>
          <w:b/>
          <w:bCs/>
          <w:spacing w:val="-4"/>
        </w:rPr>
        <w:t>15</w:t>
      </w:r>
    </w:p>
    <w:p w:rsidR="00A90D83" w:rsidRPr="003C62BC" w:rsidRDefault="00A90D83" w:rsidP="00A90D83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3C62BC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3C62BC">
        <w:rPr>
          <w:rFonts w:ascii="Times New Roman" w:hAnsi="Times New Roman" w:cs="Times New Roman"/>
          <w:b/>
          <w:bCs/>
          <w:spacing w:val="-4"/>
        </w:rPr>
        <w:t>Comitati</w:t>
      </w:r>
      <w:proofErr w:type="spellEnd"/>
      <w:r w:rsidRPr="003C62BC">
        <w:rPr>
          <w:rFonts w:ascii="Times New Roman" w:hAnsi="Times New Roman" w:cs="Times New Roman"/>
          <w:b/>
          <w:bCs/>
          <w:spacing w:val="-4"/>
        </w:rPr>
        <w:t xml:space="preserve"> </w:t>
      </w:r>
      <w:proofErr w:type="spellStart"/>
      <w:r w:rsidRPr="003C62BC">
        <w:rPr>
          <w:rFonts w:ascii="Times New Roman" w:hAnsi="Times New Roman" w:cs="Times New Roman"/>
          <w:b/>
          <w:bCs/>
          <w:spacing w:val="-4"/>
        </w:rPr>
        <w:t>d'onore</w:t>
      </w:r>
      <w:proofErr w:type="spellEnd"/>
    </w:p>
    <w:p w:rsidR="00A90D83" w:rsidRPr="00232CBE" w:rsidRDefault="00A90D83" w:rsidP="00A90D83">
      <w:pPr>
        <w:widowControl w:val="0"/>
        <w:numPr>
          <w:ilvl w:val="0"/>
          <w:numId w:val="16"/>
        </w:numPr>
        <w:autoSpaceDE w:val="0"/>
        <w:autoSpaceDN w:val="0"/>
        <w:spacing w:line="264" w:lineRule="exact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Il Presidente dell'Unione può autorizzare la partecipazione dell'Unione in Comitati che conferiscano prestigio e rilevanza a manifestazioni sociali e culturali;</w:t>
      </w:r>
    </w:p>
    <w:p w:rsidR="00A90D83" w:rsidRPr="00232CBE" w:rsidRDefault="00A90D83" w:rsidP="00A90D83">
      <w:pPr>
        <w:widowControl w:val="0"/>
        <w:numPr>
          <w:ilvl w:val="0"/>
          <w:numId w:val="16"/>
        </w:numPr>
        <w:autoSpaceDE w:val="0"/>
        <w:autoSpaceDN w:val="0"/>
        <w:ind w:right="72"/>
        <w:jc w:val="both"/>
        <w:rPr>
          <w:rFonts w:ascii="Times New Roman" w:hAnsi="Times New Roman" w:cs="Times New Roman"/>
          <w:spacing w:val="-4"/>
          <w:lang w:val="it-IT"/>
        </w:rPr>
      </w:pPr>
      <w:r w:rsidRPr="003C62BC">
        <w:rPr>
          <w:rFonts w:ascii="Times New Roman" w:hAnsi="Times New Roman" w:cs="Times New Roman"/>
          <w:spacing w:val="-4"/>
          <w:lang w:val="it-IT"/>
        </w:rPr>
        <w:t>L'Adesione ai Comitati d'Onore è richiesta dai promotori dell'iniziativa con istanza motivata diretta al Presidente dell'Unione</w:t>
      </w:r>
    </w:p>
    <w:p w:rsidR="00A90D83" w:rsidRPr="00BD50C5" w:rsidRDefault="00A90D83" w:rsidP="00BD50C5">
      <w:pPr>
        <w:jc w:val="both"/>
        <w:rPr>
          <w:rFonts w:ascii="Times New Roman" w:hAnsi="Times New Roman" w:cs="Times New Roman"/>
          <w:spacing w:val="-4"/>
          <w:lang w:val="it-IT"/>
        </w:rPr>
      </w:pPr>
      <w:r w:rsidRPr="00BD50C5">
        <w:rPr>
          <w:rFonts w:ascii="Times New Roman" w:hAnsi="Times New Roman" w:cs="Times New Roman"/>
          <w:spacing w:val="-4"/>
          <w:lang w:val="it-IT"/>
        </w:rPr>
        <w:t>I promotori ed organizzatori delle manifestazioni od iniziative alle quali l'Unione aderisce ai Comitati d' Onore ne danno atto nella documentazione e negli atti ad essa relativi.</w:t>
      </w:r>
    </w:p>
    <w:p w:rsidR="00BD50C5" w:rsidRPr="00777237" w:rsidRDefault="00BD50C5" w:rsidP="00BD50C5">
      <w:pPr>
        <w:jc w:val="center"/>
        <w:rPr>
          <w:rFonts w:ascii="Times New Roman" w:hAnsi="Times New Roman" w:cs="Times New Roman"/>
          <w:b/>
          <w:lang w:val="it-IT"/>
        </w:rPr>
      </w:pPr>
    </w:p>
    <w:p w:rsidR="00A90D83" w:rsidRPr="00BD50C5" w:rsidRDefault="00A90D83" w:rsidP="00BD50C5">
      <w:pPr>
        <w:jc w:val="center"/>
        <w:rPr>
          <w:rFonts w:ascii="Times New Roman" w:hAnsi="Times New Roman" w:cs="Times New Roman"/>
          <w:b/>
          <w:lang w:val="it-IT"/>
        </w:rPr>
      </w:pPr>
      <w:r w:rsidRPr="00BD50C5">
        <w:rPr>
          <w:rFonts w:ascii="Times New Roman" w:hAnsi="Times New Roman" w:cs="Times New Roman"/>
          <w:b/>
          <w:lang w:val="it-IT"/>
        </w:rPr>
        <w:t>Art. 16</w:t>
      </w:r>
    </w:p>
    <w:p w:rsidR="00A90D83" w:rsidRPr="00BD50C5" w:rsidRDefault="00A90D83" w:rsidP="00BD50C5">
      <w:pPr>
        <w:jc w:val="center"/>
        <w:rPr>
          <w:rFonts w:ascii="Times New Roman" w:hAnsi="Times New Roman" w:cs="Times New Roman"/>
          <w:b/>
          <w:lang w:val="it-IT"/>
        </w:rPr>
      </w:pPr>
      <w:r w:rsidRPr="00BD50C5">
        <w:rPr>
          <w:rFonts w:ascii="Times New Roman" w:hAnsi="Times New Roman" w:cs="Times New Roman"/>
          <w:b/>
          <w:lang w:val="it-IT"/>
        </w:rPr>
        <w:t>Uso del Gonfalone</w:t>
      </w:r>
    </w:p>
    <w:p w:rsidR="00A90D83" w:rsidRPr="003C62BC" w:rsidRDefault="00BD50C5" w:rsidP="00BD50C5">
      <w:pPr>
        <w:pStyle w:val="Style1"/>
        <w:adjustRightInd/>
        <w:jc w:val="both"/>
      </w:pPr>
      <w:r>
        <w:t>1.</w:t>
      </w:r>
      <w:r w:rsidR="00A90D83" w:rsidRPr="003C62BC">
        <w:t>Il Gonfalone dell'Unione è conservato presso la sede istituzionale dell'Unione;</w:t>
      </w:r>
    </w:p>
    <w:p w:rsidR="00A90D83" w:rsidRDefault="00BD50C5" w:rsidP="00BD50C5">
      <w:pPr>
        <w:pStyle w:val="Style1"/>
        <w:adjustRightInd/>
        <w:ind w:right="288"/>
        <w:jc w:val="both"/>
      </w:pPr>
      <w:r>
        <w:t>2.</w:t>
      </w:r>
      <w:r w:rsidR="00A90D83" w:rsidRPr="003C62BC">
        <w:t>Il Presidente dell'Unione stabilisce la partecipazione del Gonfalone alle manifestazioni pubbliche, ricorrenze e cerimonie valutandone la conformità ai fini pubblici ed agli interessi collettivi dei quali l'Unione è depositaria.</w:t>
      </w:r>
    </w:p>
    <w:p w:rsidR="00BD50C5" w:rsidRPr="003C62BC" w:rsidRDefault="00BD50C5" w:rsidP="00BD50C5">
      <w:pPr>
        <w:pStyle w:val="Style1"/>
        <w:adjustRightInd/>
        <w:ind w:right="288"/>
        <w:jc w:val="both"/>
      </w:pPr>
    </w:p>
    <w:p w:rsidR="00A90D83" w:rsidRDefault="00A90D83" w:rsidP="00BD50C5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 17</w:t>
      </w:r>
    </w:p>
    <w:p w:rsidR="00A90D83" w:rsidRPr="003C62BC" w:rsidRDefault="00A90D83" w:rsidP="00BD50C5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Diffusione del regolamento</w:t>
      </w:r>
    </w:p>
    <w:p w:rsidR="00A90D83" w:rsidRPr="003C62BC" w:rsidRDefault="00A90D83" w:rsidP="00BD50C5">
      <w:pPr>
        <w:pStyle w:val="Style1"/>
        <w:adjustRightInd/>
        <w:jc w:val="both"/>
      </w:pPr>
      <w:r w:rsidRPr="003C62BC">
        <w:t>1. La Giunta Complessiva dispone le iniziative più idonee per assicurare la più ampia e diffusa conoscenza del presente regolamento.</w:t>
      </w:r>
    </w:p>
    <w:p w:rsidR="00A90D83" w:rsidRDefault="00A90D83" w:rsidP="00BD50C5">
      <w:pPr>
        <w:pStyle w:val="Style1"/>
        <w:adjustRightInd/>
        <w:jc w:val="center"/>
        <w:rPr>
          <w:b/>
          <w:bCs/>
        </w:rPr>
      </w:pPr>
      <w:r>
        <w:rPr>
          <w:b/>
          <w:bCs/>
        </w:rPr>
        <w:t>Art</w:t>
      </w:r>
      <w:r w:rsidRPr="003C62BC">
        <w:rPr>
          <w:b/>
          <w:bCs/>
        </w:rPr>
        <w:t>. 18</w:t>
      </w:r>
    </w:p>
    <w:p w:rsidR="00A90D83" w:rsidRPr="003C62BC" w:rsidRDefault="00A90D83" w:rsidP="00BD50C5">
      <w:pPr>
        <w:pStyle w:val="Style1"/>
        <w:adjustRightInd/>
        <w:jc w:val="center"/>
        <w:rPr>
          <w:b/>
          <w:bCs/>
        </w:rPr>
      </w:pPr>
      <w:r w:rsidRPr="003C62BC">
        <w:rPr>
          <w:b/>
          <w:bCs/>
        </w:rPr>
        <w:t>Abrogazione</w:t>
      </w:r>
    </w:p>
    <w:p w:rsidR="00A90D83" w:rsidRDefault="00A90D83" w:rsidP="00BD50C5">
      <w:pPr>
        <w:pStyle w:val="Style1"/>
        <w:adjustRightInd/>
        <w:jc w:val="both"/>
      </w:pPr>
      <w:r w:rsidRPr="003C62BC">
        <w:t>1. Dalla data di entrata in vigore del presente regolamento è abrogato ogni altro provvedimento in contrasto con le presenti disposizioni.</w:t>
      </w:r>
    </w:p>
    <w:p w:rsidR="00BD50C5" w:rsidRPr="003C62BC" w:rsidRDefault="00BD50C5" w:rsidP="00BD50C5">
      <w:pPr>
        <w:pStyle w:val="Style1"/>
        <w:adjustRightInd/>
        <w:jc w:val="both"/>
      </w:pPr>
    </w:p>
    <w:p w:rsidR="00A90D83" w:rsidRPr="00BD50C5" w:rsidRDefault="00A90D83" w:rsidP="00BD50C5">
      <w:pPr>
        <w:pStyle w:val="Paragrafoelenco"/>
        <w:framePr w:hSpace="141" w:wrap="around" w:vAnchor="text" w:hAnchor="text" w:y="1"/>
        <w:suppressOverlap/>
        <w:jc w:val="center"/>
        <w:rPr>
          <w:rFonts w:ascii="Times New Roman" w:hAnsi="Times New Roman" w:cs="Times New Roman"/>
          <w:b/>
          <w:bCs/>
          <w:lang w:val="it-IT"/>
        </w:rPr>
      </w:pPr>
      <w:r w:rsidRPr="00BD50C5">
        <w:rPr>
          <w:rFonts w:ascii="Times New Roman" w:hAnsi="Times New Roman" w:cs="Times New Roman"/>
          <w:b/>
          <w:bCs/>
          <w:lang w:val="it-IT"/>
        </w:rPr>
        <w:t>Art. 19</w:t>
      </w:r>
    </w:p>
    <w:p w:rsidR="00A90D83" w:rsidRPr="00A90D83" w:rsidRDefault="00A90D83" w:rsidP="00BD50C5">
      <w:pPr>
        <w:pStyle w:val="Paragrafoelenco"/>
        <w:framePr w:hSpace="141" w:wrap="around" w:vAnchor="text" w:hAnchor="text" w:y="1"/>
        <w:suppressOverlap/>
        <w:jc w:val="center"/>
        <w:rPr>
          <w:rFonts w:ascii="Times New Roman" w:hAnsi="Times New Roman" w:cs="Times New Roman"/>
          <w:lang w:val="it-IT"/>
        </w:rPr>
      </w:pPr>
      <w:r w:rsidRPr="00BD50C5">
        <w:rPr>
          <w:rFonts w:ascii="Times New Roman" w:hAnsi="Times New Roman" w:cs="Times New Roman"/>
          <w:b/>
          <w:bCs/>
          <w:lang w:val="it-IT"/>
        </w:rPr>
        <w:t>Entrata in vigore</w:t>
      </w:r>
    </w:p>
    <w:p w:rsidR="00A90D83" w:rsidRPr="003C62BC" w:rsidRDefault="00A90D83" w:rsidP="00BD50C5">
      <w:pPr>
        <w:pStyle w:val="Style1"/>
        <w:adjustRightInd/>
        <w:jc w:val="both"/>
      </w:pPr>
      <w:r w:rsidRPr="003C62BC">
        <w:t>1. Il presente regolamento, dopo che sarà divenuta esecutiva la deliberazione con la quale è stato approvato, è pubblicato all'albo pretorio per quindici giorni ed entrerà in vigore alla scadenza di tale periodo.</w:t>
      </w:r>
    </w:p>
    <w:p w:rsidR="00A90D83" w:rsidRDefault="00A90D83" w:rsidP="00A90D83">
      <w:pPr>
        <w:pStyle w:val="Paragrafoelenco"/>
        <w:ind w:left="1080"/>
        <w:jc w:val="both"/>
        <w:rPr>
          <w:rFonts w:ascii="Times New Roman" w:hAnsi="Times New Roman" w:cs="Times New Roman"/>
          <w:color w:val="FF0000"/>
          <w:lang w:val="it-IT"/>
        </w:rPr>
      </w:pPr>
    </w:p>
    <w:p w:rsidR="00BD50C5" w:rsidRDefault="00BD50C5" w:rsidP="00A90D83">
      <w:pPr>
        <w:pStyle w:val="Paragrafoelenco"/>
        <w:pBdr>
          <w:bottom w:val="single" w:sz="12" w:space="1" w:color="auto"/>
        </w:pBdr>
        <w:ind w:left="1080"/>
        <w:jc w:val="both"/>
        <w:rPr>
          <w:rFonts w:ascii="Times New Roman" w:hAnsi="Times New Roman" w:cs="Times New Roman"/>
          <w:color w:val="FF0000"/>
          <w:lang w:val="it-IT"/>
        </w:rPr>
      </w:pPr>
    </w:p>
    <w:p w:rsidR="00BD50C5" w:rsidRDefault="00BD50C5" w:rsidP="00A90D83">
      <w:pPr>
        <w:pStyle w:val="Paragrafoelenco"/>
        <w:ind w:left="1080"/>
        <w:jc w:val="both"/>
        <w:rPr>
          <w:rFonts w:ascii="Times New Roman" w:hAnsi="Times New Roman" w:cs="Times New Roman"/>
          <w:color w:val="FF0000"/>
          <w:lang w:val="it-IT"/>
        </w:rPr>
      </w:pPr>
    </w:p>
    <w:sectPr w:rsidR="00BD50C5" w:rsidSect="00892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19" w:rsidRDefault="00556F19" w:rsidP="00BD50C5">
      <w:r>
        <w:separator/>
      </w:r>
    </w:p>
  </w:endnote>
  <w:endnote w:type="continuationSeparator" w:id="0">
    <w:p w:rsidR="00556F19" w:rsidRDefault="00556F19" w:rsidP="00BD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19" w:rsidRDefault="00556F19" w:rsidP="00BD50C5">
      <w:r>
        <w:separator/>
      </w:r>
    </w:p>
  </w:footnote>
  <w:footnote w:type="continuationSeparator" w:id="0">
    <w:p w:rsidR="00556F19" w:rsidRDefault="00556F19" w:rsidP="00BD5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F6A3"/>
    <w:multiLevelType w:val="singleLevel"/>
    <w:tmpl w:val="09BF02C9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1">
    <w:nsid w:val="0422B44B"/>
    <w:multiLevelType w:val="singleLevel"/>
    <w:tmpl w:val="6EF3A62A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2">
    <w:nsid w:val="16A8D23B"/>
    <w:multiLevelType w:val="singleLevel"/>
    <w:tmpl w:val="02E87460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3">
    <w:nsid w:val="1A5F970E"/>
    <w:multiLevelType w:val="singleLevel"/>
    <w:tmpl w:val="58C55398"/>
    <w:lvl w:ilvl="0">
      <w:start w:val="1"/>
      <w:numFmt w:val="lowerLetter"/>
      <w:lvlText w:val="%1)"/>
      <w:lvlJc w:val="left"/>
      <w:pPr>
        <w:tabs>
          <w:tab w:val="num" w:pos="648"/>
        </w:tabs>
        <w:ind w:left="360"/>
      </w:pPr>
      <w:rPr>
        <w:rFonts w:cs="Times New Roman"/>
        <w:color w:val="000000"/>
      </w:rPr>
    </w:lvl>
  </w:abstractNum>
  <w:abstractNum w:abstractNumId="4">
    <w:nsid w:val="28D20300"/>
    <w:multiLevelType w:val="singleLevel"/>
    <w:tmpl w:val="10F23CB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5">
    <w:nsid w:val="3AB1E22E"/>
    <w:multiLevelType w:val="singleLevel"/>
    <w:tmpl w:val="5CF4EBCE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6">
    <w:nsid w:val="3CAE5088"/>
    <w:multiLevelType w:val="singleLevel"/>
    <w:tmpl w:val="24D8CCE3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7">
    <w:nsid w:val="400B4EFF"/>
    <w:multiLevelType w:val="singleLevel"/>
    <w:tmpl w:val="78996DF6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8">
    <w:nsid w:val="4729DE8F"/>
    <w:multiLevelType w:val="singleLevel"/>
    <w:tmpl w:val="2BDB64B5"/>
    <w:lvl w:ilvl="0">
      <w:start w:val="1"/>
      <w:numFmt w:val="lowerLetter"/>
      <w:lvlText w:val="%1)"/>
      <w:lvlJc w:val="left"/>
      <w:pPr>
        <w:tabs>
          <w:tab w:val="num" w:pos="864"/>
        </w:tabs>
        <w:ind w:left="576"/>
      </w:pPr>
      <w:rPr>
        <w:rFonts w:cs="Times New Roman"/>
        <w:color w:val="000000"/>
      </w:rPr>
    </w:lvl>
  </w:abstractNum>
  <w:abstractNum w:abstractNumId="9">
    <w:nsid w:val="496E3B7D"/>
    <w:multiLevelType w:val="hybridMultilevel"/>
    <w:tmpl w:val="243A4070"/>
    <w:lvl w:ilvl="0" w:tplc="1FB60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7427E"/>
    <w:multiLevelType w:val="singleLevel"/>
    <w:tmpl w:val="14A2939D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abstractNum w:abstractNumId="11">
    <w:nsid w:val="661D7C96"/>
    <w:multiLevelType w:val="singleLevel"/>
    <w:tmpl w:val="40E36A21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hint="default"/>
        <w:color w:val="000000"/>
      </w:rPr>
    </w:lvl>
  </w:abstractNum>
  <w:abstractNum w:abstractNumId="12">
    <w:nsid w:val="69EE7845"/>
    <w:multiLevelType w:val="singleLevel"/>
    <w:tmpl w:val="5C04D0C9"/>
    <w:lvl w:ilvl="0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13">
    <w:nsid w:val="6A6E981D"/>
    <w:multiLevelType w:val="singleLevel"/>
    <w:tmpl w:val="175ACEA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14">
    <w:nsid w:val="726BE2BC"/>
    <w:multiLevelType w:val="singleLevel"/>
    <w:tmpl w:val="6B676510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hint="default"/>
        <w:color w:val="000000"/>
      </w:rPr>
    </w:lvl>
  </w:abstractNum>
  <w:abstractNum w:abstractNumId="15">
    <w:nsid w:val="76497E4E"/>
    <w:multiLevelType w:val="singleLevel"/>
    <w:tmpl w:val="5317AB36"/>
    <w:lvl w:ilvl="0">
      <w:start w:val="2"/>
      <w:numFmt w:val="decimal"/>
      <w:lvlText w:val="a.%1."/>
      <w:lvlJc w:val="left"/>
      <w:pPr>
        <w:tabs>
          <w:tab w:val="num" w:pos="792"/>
        </w:tabs>
        <w:ind w:left="360"/>
      </w:pPr>
      <w:rPr>
        <w:rFonts w:cs="Times New Roman"/>
        <w:color w:val="000000"/>
      </w:rPr>
    </w:lvl>
  </w:abstractNum>
  <w:abstractNum w:abstractNumId="16">
    <w:nsid w:val="77A84071"/>
    <w:multiLevelType w:val="singleLevel"/>
    <w:tmpl w:val="56D6A34E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0"/>
  </w:num>
  <w:num w:numId="5">
    <w:abstractNumId w:val="16"/>
  </w:num>
  <w:num w:numId="6">
    <w:abstractNumId w:val="15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185"/>
    <w:rsid w:val="000016F8"/>
    <w:rsid w:val="00075952"/>
    <w:rsid w:val="001D21ED"/>
    <w:rsid w:val="002C6E59"/>
    <w:rsid w:val="002E23A6"/>
    <w:rsid w:val="00305922"/>
    <w:rsid w:val="003D0CC8"/>
    <w:rsid w:val="003D0E49"/>
    <w:rsid w:val="004074F7"/>
    <w:rsid w:val="004A087B"/>
    <w:rsid w:val="004D1B98"/>
    <w:rsid w:val="0054194F"/>
    <w:rsid w:val="00556F19"/>
    <w:rsid w:val="006256A8"/>
    <w:rsid w:val="006645EB"/>
    <w:rsid w:val="006E7736"/>
    <w:rsid w:val="00777237"/>
    <w:rsid w:val="007B2185"/>
    <w:rsid w:val="00892779"/>
    <w:rsid w:val="0092325F"/>
    <w:rsid w:val="00985D29"/>
    <w:rsid w:val="00A23B65"/>
    <w:rsid w:val="00A90D83"/>
    <w:rsid w:val="00B1387B"/>
    <w:rsid w:val="00BD50C5"/>
    <w:rsid w:val="00ED7EFD"/>
    <w:rsid w:val="00F21AC3"/>
    <w:rsid w:val="00F9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185"/>
    <w:rPr>
      <w:rFonts w:eastAsia="Times New Roman" w:cs="Arial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D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D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D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D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D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D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D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D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D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D1B98"/>
    <w:rPr>
      <w:rFonts w:ascii="Arial" w:hAnsi="Arial" w:cs="Arial"/>
      <w:dstrike/>
      <w:color w:val="FF0000"/>
    </w:rPr>
  </w:style>
  <w:style w:type="paragraph" w:styleId="Paragrafoelenco">
    <w:name w:val="List Paragraph"/>
    <w:basedOn w:val="Normale"/>
    <w:uiPriority w:val="34"/>
    <w:qFormat/>
    <w:rsid w:val="004D1B98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D1B98"/>
    <w:pPr>
      <w:spacing w:before="240" w:after="60"/>
      <w:jc w:val="center"/>
      <w:outlineLvl w:val="0"/>
    </w:pPr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D1B98"/>
    <w:rPr>
      <w:rFonts w:ascii="Cambria" w:hAnsi="Cambria"/>
      <w:b/>
      <w:bCs/>
      <w:dstrike/>
      <w:color w:val="FF0000"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4D1B9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5D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D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D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D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D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D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D2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D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D29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5D29"/>
    <w:rPr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D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D29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uiPriority w:val="20"/>
    <w:qFormat/>
    <w:rsid w:val="00985D29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85D29"/>
    <w:rPr>
      <w:rFonts w:ascii="Arial" w:hAnsi="Arial" w:cs="Arial"/>
      <w:dstrike/>
      <w:color w:val="FF000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D29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D29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D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D29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985D29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985D29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985D29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985D29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985D29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5D29"/>
    <w:pPr>
      <w:outlineLvl w:val="9"/>
    </w:pPr>
  </w:style>
  <w:style w:type="paragraph" w:customStyle="1" w:styleId="Style1">
    <w:name w:val="Style 1"/>
    <w:basedOn w:val="Normale"/>
    <w:uiPriority w:val="99"/>
    <w:rsid w:val="007B218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7B2185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7B2185"/>
  </w:style>
  <w:style w:type="paragraph" w:customStyle="1" w:styleId="Style2">
    <w:name w:val="Style 2"/>
    <w:basedOn w:val="Normale"/>
    <w:uiPriority w:val="99"/>
    <w:rsid w:val="00A90D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0D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0D83"/>
    <w:rPr>
      <w:rFonts w:eastAsia="Times New Roman" w:cs="Arial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5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50C5"/>
    <w:rPr>
      <w:rFonts w:eastAsia="Times New Roman" w:cs="Arial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2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237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comunivalvibrat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2012-01-25T12:00:00Z</cp:lastPrinted>
  <dcterms:created xsi:type="dcterms:W3CDTF">2012-11-26T15:05:00Z</dcterms:created>
  <dcterms:modified xsi:type="dcterms:W3CDTF">2012-11-26T15:14:00Z</dcterms:modified>
</cp:coreProperties>
</file>